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/>
          <w:color w:val="FF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color w:val="FF0000"/>
          <w:sz w:val="36"/>
          <w:szCs w:val="36"/>
        </w:rPr>
        <w:t>宜昌市2018年高层次和急需紧缺人才引进</w:t>
      </w:r>
    </w:p>
    <w:p>
      <w:pPr>
        <w:jc w:val="center"/>
        <w:rPr>
          <w:rFonts w:ascii="方正小标宋简体" w:hAnsi="方正小标宋简体" w:eastAsia="方正小标宋简体" w:cs="方正小标宋简体"/>
          <w:b/>
          <w:color w:val="FF0000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/>
          <w:color w:val="FF0000"/>
          <w:sz w:val="36"/>
          <w:szCs w:val="36"/>
        </w:rPr>
        <w:t>暨“我选湖北·爱上宜昌”大学生实习实训洽谈会</w:t>
      </w:r>
    </w:p>
    <w:p>
      <w:pPr>
        <w:spacing w:line="400" w:lineRule="exact"/>
        <w:ind w:firstLine="562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/>
          <w:color w:val="0070C0"/>
          <w:sz w:val="28"/>
          <w:szCs w:val="28"/>
          <w:u w:val="single"/>
        </w:rPr>
        <w:t>宜 昌</w:t>
      </w:r>
      <w:r>
        <w:rPr>
          <w:rFonts w:hint="eastAsia" w:ascii="宋体" w:hAnsi="宋体"/>
          <w:sz w:val="28"/>
          <w:szCs w:val="28"/>
        </w:rPr>
        <w:t>：依江而建，省域副中心城市，“世界水电之都”， 4处国家5A级旅游景区，全国文明城市、国家园林城市 、国家卫生城市、国家森林城市 、中国钢琴之城等美誉的城市。</w:t>
      </w:r>
    </w:p>
    <w:p>
      <w:pPr>
        <w:jc w:val="center"/>
        <w:rPr>
          <w:rFonts w:ascii="方正小标宋简体" w:hAnsi="方正小标宋简体" w:eastAsia="方正小标宋简体" w:cs="方正小标宋简体"/>
          <w:color w:val="00B05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B050"/>
          <w:sz w:val="44"/>
          <w:szCs w:val="44"/>
        </w:rPr>
        <w:t>人才引进+人才招聘+实习实训洽谈会</w:t>
      </w:r>
    </w:p>
    <w:p>
      <w:pPr>
        <w:spacing w:line="40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活动时间地点：</w:t>
      </w:r>
      <w:r>
        <w:rPr>
          <w:rFonts w:hint="eastAsia" w:ascii="宋体" w:hAnsi="宋体"/>
          <w:sz w:val="28"/>
          <w:szCs w:val="28"/>
          <w:u w:val="single"/>
        </w:rPr>
        <w:t>4月22日（9:00-14:00）武汉大学工学部体育馆</w:t>
      </w:r>
    </w:p>
    <w:p>
      <w:pPr>
        <w:spacing w:line="40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主办单位：宜昌市委人才办  宜昌市人力资源和社会保障局</w:t>
      </w:r>
    </w:p>
    <w:p>
      <w:pPr>
        <w:spacing w:line="400" w:lineRule="exact"/>
        <w:jc w:val="center"/>
        <w:rPr>
          <w:rFonts w:hint="eastAsia" w:ascii="宋体" w:hAnsi="宋体"/>
          <w:b/>
          <w:color w:val="FF0000"/>
          <w:sz w:val="28"/>
          <w:szCs w:val="28"/>
          <w:u w:val="single"/>
        </w:rPr>
      </w:pPr>
      <w:r>
        <w:rPr>
          <w:rFonts w:hint="eastAsia" w:ascii="宋体" w:hAnsi="宋体"/>
          <w:b/>
          <w:color w:val="FF0000"/>
          <w:sz w:val="28"/>
          <w:szCs w:val="28"/>
          <w:u w:val="single"/>
        </w:rPr>
        <w:t>现场面试，现场录用</w:t>
      </w:r>
    </w:p>
    <w:p>
      <w:pPr>
        <w:spacing w:line="400" w:lineRule="exact"/>
        <w:jc w:val="center"/>
        <w:rPr>
          <w:rFonts w:ascii="宋体" w:hAnsi="宋体"/>
          <w:color w:val="FF0000"/>
          <w:sz w:val="28"/>
          <w:szCs w:val="28"/>
        </w:rPr>
      </w:pPr>
      <w:r>
        <w:rPr>
          <w:rFonts w:hint="eastAsia" w:ascii="宋体" w:hAnsi="宋体"/>
          <w:b/>
          <w:color w:val="FF0000"/>
          <w:sz w:val="28"/>
          <w:szCs w:val="28"/>
        </w:rPr>
        <w:t>现场扫码报名送礼</w:t>
      </w:r>
      <w:bookmarkStart w:id="0" w:name="_GoBack"/>
      <w:bookmarkEnd w:id="0"/>
    </w:p>
    <w:p>
      <w:pPr>
        <w:spacing w:line="46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引才岗位： 34家事业单位，22家企业，需求博士、硕士487名。 </w:t>
      </w:r>
    </w:p>
    <w:p>
      <w:pPr>
        <w:spacing w:line="46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招聘岗位：50家宜昌重点企业，优质岗位682个（本科生）。</w:t>
      </w:r>
    </w:p>
    <w:p>
      <w:pPr>
        <w:spacing w:line="46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实习实训：上千家企事业单位，上万个实习岗位。</w:t>
      </w:r>
    </w:p>
    <w:p>
      <w:pPr>
        <w:spacing w:line="46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企业单位：市城投，人福药业，葛洲坝集团，安琪酵母……</w:t>
      </w:r>
    </w:p>
    <w:p>
      <w:pPr>
        <w:spacing w:line="46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事业单位：三峡大学，宜昌4所中学，710研究所，三峡日报……</w:t>
      </w:r>
    </w:p>
    <w:p>
      <w:pPr>
        <w:widowControl/>
        <w:spacing w:line="480" w:lineRule="exact"/>
        <w:ind w:left="551" w:hanging="551" w:hangingChars="196"/>
        <w:jc w:val="left"/>
        <w:rPr>
          <w:rFonts w:asciiTheme="minorEastAsia" w:hAnsiTheme="minorEastAsia" w:cstheme="majorEastAsia"/>
          <w:sz w:val="28"/>
          <w:szCs w:val="28"/>
        </w:rPr>
      </w:pPr>
      <w:r>
        <w:rPr>
          <w:rFonts w:hint="eastAsia" w:asciiTheme="minorEastAsia" w:hAnsiTheme="minorEastAsia"/>
          <w:b/>
          <w:color w:val="C00000"/>
          <w:sz w:val="28"/>
          <w:szCs w:val="28"/>
        </w:rPr>
        <w:t>高层次人才引进优惠政策：</w:t>
      </w:r>
      <w:r>
        <w:rPr>
          <w:rFonts w:hint="eastAsia" w:asciiTheme="minorEastAsia" w:hAnsiTheme="minorEastAsia" w:cstheme="majorEastAsia"/>
          <w:sz w:val="28"/>
          <w:szCs w:val="28"/>
        </w:rPr>
        <w:t>事业单位：优先享受市人才公寓承租使用权；五年内每年</w:t>
      </w:r>
      <w:r>
        <w:rPr>
          <w:rFonts w:hint="eastAsia" w:asciiTheme="minorEastAsia" w:hAnsiTheme="minorEastAsia" w:cstheme="majorEastAsia"/>
          <w:b/>
          <w:sz w:val="28"/>
          <w:szCs w:val="28"/>
          <w:u w:val="single"/>
        </w:rPr>
        <w:t>2万住房补贴</w:t>
      </w:r>
      <w:r>
        <w:rPr>
          <w:rFonts w:hint="eastAsia" w:asciiTheme="minorEastAsia" w:hAnsiTheme="minorEastAsia" w:cstheme="majorEastAsia"/>
          <w:sz w:val="28"/>
          <w:szCs w:val="28"/>
        </w:rPr>
        <w:t>，每月</w:t>
      </w:r>
      <w:r>
        <w:rPr>
          <w:rFonts w:hint="eastAsia" w:asciiTheme="minorEastAsia" w:hAnsiTheme="minorEastAsia" w:cstheme="majorEastAsia"/>
          <w:b/>
          <w:sz w:val="28"/>
          <w:szCs w:val="28"/>
          <w:u w:val="single"/>
        </w:rPr>
        <w:t>2000元人才津贴</w:t>
      </w:r>
      <w:r>
        <w:rPr>
          <w:rFonts w:hint="eastAsia" w:asciiTheme="minorEastAsia" w:hAnsiTheme="minorEastAsia" w:cstheme="majorEastAsia"/>
          <w:sz w:val="28"/>
          <w:szCs w:val="28"/>
        </w:rPr>
        <w:t>；企业单位：每人</w:t>
      </w:r>
      <w:r>
        <w:rPr>
          <w:rFonts w:hint="eastAsia" w:asciiTheme="minorEastAsia" w:hAnsiTheme="minorEastAsia" w:cstheme="majorEastAsia"/>
          <w:b/>
          <w:sz w:val="28"/>
          <w:szCs w:val="28"/>
          <w:u w:val="single"/>
        </w:rPr>
        <w:t>5-10万元奖励</w:t>
      </w:r>
      <w:r>
        <w:rPr>
          <w:rFonts w:hint="eastAsia" w:asciiTheme="minorEastAsia" w:hAnsiTheme="minorEastAsia" w:cstheme="majorEastAsia"/>
          <w:sz w:val="28"/>
          <w:szCs w:val="28"/>
        </w:rPr>
        <w:t>……</w:t>
      </w:r>
    </w:p>
    <w:p>
      <w:pPr>
        <w:widowControl/>
        <w:spacing w:line="480" w:lineRule="exact"/>
        <w:ind w:left="551" w:hanging="551" w:hangingChars="196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b/>
          <w:color w:val="C00000"/>
          <w:sz w:val="28"/>
          <w:szCs w:val="28"/>
        </w:rPr>
        <w:t>大学生实习实训优惠政策：</w:t>
      </w:r>
      <w:r>
        <w:rPr>
          <w:rFonts w:hint="eastAsia" w:asciiTheme="minorEastAsia" w:hAnsiTheme="minorEastAsia" w:cstheme="majorEastAsia"/>
          <w:b/>
          <w:sz w:val="28"/>
          <w:szCs w:val="28"/>
          <w:u w:val="single"/>
        </w:rPr>
        <w:t>生活基地</w:t>
      </w:r>
      <w:r>
        <w:rPr>
          <w:rFonts w:hint="eastAsia" w:asciiTheme="minorEastAsia" w:hAnsiTheme="minorEastAsia" w:cstheme="majorEastAsia"/>
          <w:sz w:val="28"/>
          <w:szCs w:val="28"/>
        </w:rPr>
        <w:t>，</w:t>
      </w:r>
      <w:r>
        <w:rPr>
          <w:rFonts w:hint="eastAsia" w:asciiTheme="minorEastAsia" w:hAnsiTheme="minorEastAsia" w:cstheme="majorEastAsia"/>
          <w:b/>
          <w:sz w:val="28"/>
          <w:szCs w:val="28"/>
          <w:u w:val="single"/>
        </w:rPr>
        <w:t>拎包即住</w:t>
      </w:r>
      <w:r>
        <w:rPr>
          <w:rFonts w:hint="eastAsia" w:asciiTheme="minorEastAsia" w:hAnsiTheme="minorEastAsia" w:cstheme="majorEastAsia"/>
          <w:sz w:val="28"/>
          <w:szCs w:val="28"/>
        </w:rPr>
        <w:t>，每月</w:t>
      </w:r>
      <w:r>
        <w:rPr>
          <w:rFonts w:hint="eastAsia" w:asciiTheme="minorEastAsia" w:hAnsiTheme="minorEastAsia" w:cstheme="majorEastAsia"/>
          <w:b/>
          <w:sz w:val="28"/>
          <w:szCs w:val="28"/>
          <w:u w:val="single"/>
        </w:rPr>
        <w:t>补贴1200-1500元</w:t>
      </w:r>
      <w:r>
        <w:rPr>
          <w:rFonts w:hint="eastAsia" w:asciiTheme="minorEastAsia" w:hAnsiTheme="minorEastAsia" w:cstheme="majorEastAsia"/>
          <w:sz w:val="28"/>
          <w:szCs w:val="28"/>
        </w:rPr>
        <w:t>；事业单位、大型国有企业</w:t>
      </w:r>
      <w:r>
        <w:rPr>
          <w:rFonts w:hint="eastAsia" w:asciiTheme="minorEastAsia" w:hAnsiTheme="minorEastAsia" w:cstheme="majorEastAsia"/>
          <w:b/>
          <w:sz w:val="28"/>
          <w:szCs w:val="28"/>
          <w:u w:val="single"/>
        </w:rPr>
        <w:t>优先录用</w:t>
      </w:r>
      <w:r>
        <w:rPr>
          <w:rFonts w:hint="eastAsia" w:asciiTheme="minorEastAsia" w:hAnsiTheme="minorEastAsia" w:cstheme="majorEastAsia"/>
          <w:sz w:val="28"/>
          <w:szCs w:val="28"/>
        </w:rPr>
        <w:t>；发放三峡景区</w:t>
      </w:r>
      <w:r>
        <w:rPr>
          <w:rFonts w:hint="eastAsia" w:asciiTheme="minorEastAsia" w:hAnsiTheme="minorEastAsia" w:cstheme="majorEastAsia"/>
          <w:b/>
          <w:sz w:val="28"/>
          <w:szCs w:val="28"/>
          <w:u w:val="single"/>
        </w:rPr>
        <w:t>旅游年卡</w:t>
      </w:r>
      <w:r>
        <w:rPr>
          <w:rFonts w:hint="eastAsia" w:asciiTheme="minorEastAsia" w:hAnsiTheme="minorEastAsia" w:cstheme="majorEastAsia"/>
          <w:sz w:val="28"/>
          <w:szCs w:val="28"/>
        </w:rPr>
        <w:t>、IC卡、</w:t>
      </w:r>
      <w:r>
        <w:rPr>
          <w:rFonts w:hint="eastAsia" w:asciiTheme="minorEastAsia" w:hAnsiTheme="minorEastAsia" w:cstheme="majorEastAsia"/>
          <w:b/>
          <w:sz w:val="28"/>
          <w:szCs w:val="28"/>
          <w:u w:val="single"/>
        </w:rPr>
        <w:t>参观</w:t>
      </w:r>
      <w:r>
        <w:rPr>
          <w:rFonts w:hint="eastAsia" w:asciiTheme="minorEastAsia" w:hAnsiTheme="minorEastAsia" w:cstheme="majorEastAsia"/>
          <w:sz w:val="28"/>
          <w:szCs w:val="28"/>
        </w:rPr>
        <w:t>重大项目、重点企业、博物馆 ……</w:t>
      </w:r>
    </w:p>
    <w:p>
      <w:pPr>
        <w:ind w:left="843" w:hanging="843" w:hangingChars="300"/>
        <w:rPr>
          <w:rFonts w:asciiTheme="majorEastAsia" w:hAnsiTheme="majorEastAsia" w:eastAsiaTheme="majorEastAsia" w:cstheme="majorEastAsia"/>
          <w:b/>
          <w:color w:val="FF0000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color w:val="FF0000"/>
          <w:sz w:val="28"/>
          <w:szCs w:val="28"/>
        </w:rPr>
        <w:t>报名方式：</w:t>
      </w:r>
    </w:p>
    <w:tbl>
      <w:tblPr>
        <w:tblStyle w:val="7"/>
        <w:tblW w:w="8363" w:type="dxa"/>
        <w:tblInd w:w="534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3"/>
        <w:gridCol w:w="3084"/>
        <w:gridCol w:w="258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3" w:type="dxa"/>
          </w:tcPr>
          <w:p>
            <w:pPr>
              <w:ind w:firstLine="118" w:firstLineChars="49"/>
              <w:rPr>
                <w:rFonts w:asciiTheme="majorEastAsia" w:hAnsiTheme="majorEastAsia" w:eastAsiaTheme="majorEastAsia" w:cstheme="majorEastAsia"/>
                <w:b/>
                <w:color w:val="C00000"/>
                <w:kern w:val="0"/>
                <w:sz w:val="24"/>
                <w:szCs w:val="20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color w:val="C00000"/>
                <w:kern w:val="0"/>
                <w:sz w:val="24"/>
                <w:szCs w:val="20"/>
              </w:rPr>
              <w:t>引才岗位报名二维码</w:t>
            </w:r>
          </w:p>
          <w:p>
            <w:pPr>
              <w:rPr>
                <w:rFonts w:asciiTheme="majorEastAsia" w:hAnsiTheme="majorEastAsia" w:eastAsiaTheme="majorEastAsia" w:cstheme="majorEastAsia"/>
                <w:b/>
                <w:kern w:val="0"/>
                <w:sz w:val="28"/>
                <w:szCs w:val="28"/>
              </w:rPr>
            </w:pPr>
            <w:r>
              <w:rPr>
                <w:rFonts w:asciiTheme="majorEastAsia" w:hAnsiTheme="majorEastAsia" w:eastAsiaTheme="majorEastAsia" w:cstheme="majorEastAsia"/>
                <w:b/>
                <w:kern w:val="0"/>
                <w:sz w:val="28"/>
                <w:szCs w:val="28"/>
              </w:rPr>
              <w:drawing>
                <wp:inline distT="0" distB="0" distL="0" distR="0">
                  <wp:extent cx="1533525" cy="1533525"/>
                  <wp:effectExtent l="19050" t="0" r="9525" b="0"/>
                  <wp:docPr id="19" name="图片 18" descr="招聘二维码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8" descr="招聘二维码.png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3525" cy="1533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4" w:type="dxa"/>
            <w:tcBorders>
              <w:right w:val="single" w:color="auto" w:sz="4" w:space="0"/>
            </w:tcBorders>
          </w:tcPr>
          <w:p>
            <w:pPr>
              <w:spacing w:line="400" w:lineRule="exact"/>
              <w:ind w:left="723" w:hanging="723" w:hangingChars="300"/>
              <w:jc w:val="center"/>
              <w:rPr>
                <w:rFonts w:asciiTheme="majorEastAsia" w:hAnsiTheme="majorEastAsia" w:eastAsiaTheme="majorEastAsia" w:cstheme="majorEastAsia"/>
                <w:b/>
                <w:color w:val="00B0F0"/>
                <w:kern w:val="0"/>
                <w:sz w:val="24"/>
                <w:szCs w:val="20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color w:val="00B0F0"/>
                <w:kern w:val="0"/>
                <w:sz w:val="24"/>
                <w:szCs w:val="20"/>
              </w:rPr>
              <w:t>敬请分开报名，详表可下载</w:t>
            </w:r>
          </w:p>
          <w:p>
            <w:pPr>
              <w:spacing w:line="400" w:lineRule="exact"/>
              <w:jc w:val="left"/>
              <w:rPr>
                <w:rFonts w:asciiTheme="majorEastAsia" w:hAnsiTheme="majorEastAsia" w:eastAsiaTheme="majorEastAsia" w:cstheme="majorEastAsia"/>
                <w:b/>
                <w:kern w:val="0"/>
                <w:sz w:val="24"/>
                <w:szCs w:val="20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kern w:val="0"/>
                <w:sz w:val="24"/>
                <w:szCs w:val="20"/>
              </w:rPr>
              <w:t>其他报名方式：</w:t>
            </w:r>
          </w:p>
          <w:p>
            <w:pPr>
              <w:spacing w:line="400" w:lineRule="exact"/>
              <w:jc w:val="left"/>
              <w:rPr>
                <w:rFonts w:asciiTheme="majorEastAsia" w:hAnsiTheme="majorEastAsia" w:eastAsiaTheme="majorEastAsia" w:cstheme="majorEastAsia"/>
                <w:b/>
                <w:kern w:val="0"/>
                <w:sz w:val="24"/>
                <w:szCs w:val="20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0"/>
              </w:rPr>
              <w:t>发送个人信息和意向岗位或区域至邮箱：</w:t>
            </w:r>
            <w:r>
              <w:fldChar w:fldCharType="begin"/>
            </w:r>
            <w:r>
              <w:instrText xml:space="preserve"> HYPERLINK "mailto:zonsinvip22@163.com" </w:instrText>
            </w:r>
            <w:r>
              <w:fldChar w:fldCharType="separate"/>
            </w:r>
            <w:r>
              <w:rPr>
                <w:rStyle w:val="5"/>
                <w:rFonts w:hint="eastAsia" w:ascii="微软雅黑" w:hAnsi="微软雅黑" w:eastAsia="微软雅黑" w:cstheme="majorEastAsia"/>
                <w:b/>
                <w:color w:val="00B0F0"/>
                <w:kern w:val="0"/>
                <w:sz w:val="24"/>
                <w:szCs w:val="20"/>
              </w:rPr>
              <w:t>zonsinvip22@163.com</w:t>
            </w:r>
            <w:r>
              <w:rPr>
                <w:rStyle w:val="5"/>
                <w:rFonts w:hint="eastAsia" w:ascii="微软雅黑" w:hAnsi="微软雅黑" w:eastAsia="微软雅黑" w:cstheme="majorEastAsia"/>
                <w:b/>
                <w:color w:val="00B0F0"/>
                <w:kern w:val="0"/>
                <w:sz w:val="24"/>
                <w:szCs w:val="20"/>
              </w:rPr>
              <w:fldChar w:fldCharType="end"/>
            </w:r>
          </w:p>
        </w:tc>
        <w:tc>
          <w:tcPr>
            <w:tcW w:w="2586" w:type="dxa"/>
            <w:tcBorders>
              <w:left w:val="single" w:color="auto" w:sz="4" w:space="0"/>
            </w:tcBorders>
          </w:tcPr>
          <w:p>
            <w:pPr>
              <w:spacing w:line="400" w:lineRule="exact"/>
              <w:rPr>
                <w:rFonts w:asciiTheme="majorEastAsia" w:hAnsiTheme="majorEastAsia" w:eastAsiaTheme="majorEastAsia" w:cstheme="majorEastAsia"/>
                <w:b/>
                <w:color w:val="C00000"/>
                <w:kern w:val="0"/>
                <w:sz w:val="24"/>
                <w:szCs w:val="20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color w:val="C00000"/>
                <w:kern w:val="0"/>
                <w:sz w:val="24"/>
                <w:szCs w:val="20"/>
              </w:rPr>
              <w:t>实习实训报名二维码</w:t>
            </w:r>
          </w:p>
          <w:p>
            <w:pPr>
              <w:spacing w:line="720" w:lineRule="auto"/>
              <w:rPr>
                <w:rFonts w:asciiTheme="majorEastAsia" w:hAnsiTheme="majorEastAsia" w:eastAsiaTheme="majorEastAsia" w:cstheme="majorEastAsia"/>
                <w:kern w:val="0"/>
                <w:sz w:val="24"/>
                <w:szCs w:val="20"/>
              </w:rPr>
            </w:pPr>
            <w:r>
              <w:rPr>
                <w:rFonts w:asciiTheme="majorEastAsia" w:hAnsiTheme="majorEastAsia" w:eastAsiaTheme="majorEastAsia" w:cstheme="majorEastAsia"/>
                <w:kern w:val="0"/>
                <w:sz w:val="24"/>
                <w:szCs w:val="20"/>
              </w:rPr>
              <w:drawing>
                <wp:inline distT="0" distB="0" distL="0" distR="0">
                  <wp:extent cx="1485900" cy="1478915"/>
                  <wp:effectExtent l="19050" t="0" r="0" b="0"/>
                  <wp:docPr id="18" name="图片 15" descr="实习实训二维码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5" descr="实习实训二维码.png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5900" cy="14792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line="260" w:lineRule="exact"/>
        <w:rPr>
          <w:rFonts w:ascii="仿宋" w:hAnsi="仿宋" w:eastAsia="仿宋" w:cs="仿宋"/>
          <w:color w:val="FF0000"/>
          <w:sz w:val="24"/>
          <w:szCs w:val="24"/>
        </w:rPr>
      </w:pPr>
    </w:p>
    <w:p>
      <w:pPr>
        <w:spacing w:line="400" w:lineRule="exact"/>
        <w:jc w:val="center"/>
        <w:rPr>
          <w:rFonts w:ascii="黑体" w:hAnsi="黑体" w:eastAsia="黑体" w:cs="仿宋"/>
          <w:b/>
          <w:color w:val="FF0000"/>
          <w:sz w:val="30"/>
          <w:szCs w:val="30"/>
        </w:rPr>
      </w:pPr>
      <w:r>
        <w:rPr>
          <w:rFonts w:hint="eastAsia" w:ascii="黑体" w:hAnsi="黑体" w:eastAsia="黑体" w:cs="仿宋"/>
          <w:b/>
          <w:color w:val="FF0000"/>
          <w:sz w:val="30"/>
          <w:szCs w:val="30"/>
        </w:rPr>
        <w:t>部分企事业单位简介</w:t>
      </w:r>
    </w:p>
    <w:p>
      <w:pPr>
        <w:spacing w:line="260" w:lineRule="exac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color w:val="FF0000"/>
          <w:sz w:val="24"/>
          <w:szCs w:val="24"/>
        </w:rPr>
        <w:t>三峡大学:</w:t>
      </w:r>
      <w:r>
        <w:rPr>
          <w:rFonts w:hint="eastAsia" w:ascii="仿宋" w:hAnsi="仿宋" w:eastAsia="仿宋" w:cs="仿宋"/>
          <w:sz w:val="24"/>
          <w:szCs w:val="24"/>
        </w:rPr>
        <w:t>经教育部批准， 2000年6月29日合并成立的湖北省重点综合性大学，是水利部和湖北省人民政府共建高校。2018年，学校被省人民政府列为“国内一流大学建设高校”，水利工程、土木工程、电气工程等3个学科被列为“国内一流学科建设学科”。目前，三峡大学已成为水利电力特色与优势比较明显、综合办学实力较强、享有一定社会声誉的综合性大学。</w:t>
      </w:r>
    </w:p>
    <w:p>
      <w:pPr>
        <w:spacing w:line="260" w:lineRule="exac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color w:val="FF0000"/>
          <w:sz w:val="24"/>
          <w:szCs w:val="24"/>
        </w:rPr>
        <w:t>宜昌市第一中学：</w:t>
      </w:r>
      <w:r>
        <w:rPr>
          <w:rFonts w:hint="eastAsia" w:ascii="仿宋" w:hAnsi="仿宋" w:eastAsia="仿宋" w:cs="仿宋"/>
          <w:sz w:val="24"/>
          <w:szCs w:val="24"/>
        </w:rPr>
        <w:t>湖北省首批确定办好的重点中学，是湖北省最早的省级示范学校之一。学校现有两个校区，共计</w:t>
      </w:r>
      <w:r>
        <w:rPr>
          <w:rFonts w:ascii="仿宋" w:hAnsi="仿宋" w:eastAsia="仿宋" w:cs="仿宋"/>
          <w:sz w:val="24"/>
          <w:szCs w:val="24"/>
        </w:rPr>
        <w:t>59</w:t>
      </w:r>
      <w:r>
        <w:rPr>
          <w:rFonts w:hint="eastAsia" w:ascii="仿宋" w:hAnsi="仿宋" w:eastAsia="仿宋" w:cs="仿宋"/>
          <w:sz w:val="24"/>
          <w:szCs w:val="24"/>
        </w:rPr>
        <w:t>个班，师生</w:t>
      </w:r>
      <w:r>
        <w:rPr>
          <w:rFonts w:ascii="仿宋" w:hAnsi="仿宋" w:eastAsia="仿宋" w:cs="仿宋"/>
          <w:sz w:val="24"/>
          <w:szCs w:val="24"/>
        </w:rPr>
        <w:t>3600</w:t>
      </w:r>
      <w:r>
        <w:rPr>
          <w:rFonts w:hint="eastAsia" w:ascii="仿宋" w:hAnsi="仿宋" w:eastAsia="仿宋" w:cs="仿宋"/>
          <w:sz w:val="24"/>
          <w:szCs w:val="24"/>
        </w:rPr>
        <w:t>余人。新校区占地</w:t>
      </w:r>
      <w:r>
        <w:rPr>
          <w:rFonts w:ascii="仿宋" w:hAnsi="仿宋" w:eastAsia="仿宋" w:cs="仿宋"/>
          <w:sz w:val="24"/>
          <w:szCs w:val="24"/>
        </w:rPr>
        <w:t>324</w:t>
      </w:r>
      <w:r>
        <w:rPr>
          <w:rFonts w:hint="eastAsia" w:ascii="仿宋" w:hAnsi="仿宋" w:eastAsia="仿宋" w:cs="仿宋"/>
          <w:sz w:val="24"/>
          <w:szCs w:val="24"/>
        </w:rPr>
        <w:t>亩，老校区占地</w:t>
      </w:r>
      <w:r>
        <w:rPr>
          <w:rFonts w:ascii="仿宋" w:hAnsi="仿宋" w:eastAsia="仿宋" w:cs="仿宋"/>
          <w:sz w:val="24"/>
          <w:szCs w:val="24"/>
        </w:rPr>
        <w:t>89</w:t>
      </w:r>
      <w:r>
        <w:rPr>
          <w:rFonts w:hint="eastAsia" w:ascii="仿宋" w:hAnsi="仿宋" w:eastAsia="仿宋" w:cs="仿宋"/>
          <w:sz w:val="24"/>
          <w:szCs w:val="24"/>
        </w:rPr>
        <w:t>亩，总建筑面积</w:t>
      </w:r>
      <w:r>
        <w:rPr>
          <w:rFonts w:ascii="仿宋" w:hAnsi="仿宋" w:eastAsia="仿宋" w:cs="仿宋"/>
          <w:sz w:val="24"/>
          <w:szCs w:val="24"/>
        </w:rPr>
        <w:t>13</w:t>
      </w:r>
      <w:r>
        <w:rPr>
          <w:rFonts w:hint="eastAsia" w:ascii="仿宋" w:hAnsi="仿宋" w:eastAsia="仿宋" w:cs="仿宋"/>
          <w:sz w:val="24"/>
          <w:szCs w:val="24"/>
        </w:rPr>
        <w:t>万余平方米，总投资约</w:t>
      </w:r>
      <w:r>
        <w:rPr>
          <w:rFonts w:ascii="仿宋" w:hAnsi="仿宋" w:eastAsia="仿宋" w:cs="仿宋"/>
          <w:sz w:val="24"/>
          <w:szCs w:val="24"/>
        </w:rPr>
        <w:t>6.2</w:t>
      </w:r>
      <w:r>
        <w:rPr>
          <w:rFonts w:hint="eastAsia" w:ascii="仿宋" w:hAnsi="仿宋" w:eastAsia="仿宋" w:cs="仿宋"/>
          <w:sz w:val="24"/>
          <w:szCs w:val="24"/>
        </w:rPr>
        <w:t>亿元。未来一年内，学校将实现</w:t>
      </w:r>
      <w:r>
        <w:rPr>
          <w:rFonts w:ascii="仿宋" w:hAnsi="仿宋" w:eastAsia="仿宋" w:cs="仿宋"/>
          <w:sz w:val="24"/>
          <w:szCs w:val="24"/>
        </w:rPr>
        <w:t>72</w:t>
      </w:r>
      <w:r>
        <w:rPr>
          <w:rFonts w:hint="eastAsia" w:ascii="仿宋" w:hAnsi="仿宋" w:eastAsia="仿宋" w:cs="仿宋"/>
          <w:sz w:val="24"/>
          <w:szCs w:val="24"/>
        </w:rPr>
        <w:t>个教学班、在校学生</w:t>
      </w:r>
      <w:r>
        <w:rPr>
          <w:rFonts w:ascii="仿宋" w:hAnsi="仿宋" w:eastAsia="仿宋" w:cs="仿宋"/>
          <w:sz w:val="24"/>
          <w:szCs w:val="24"/>
        </w:rPr>
        <w:t>3600</w:t>
      </w:r>
      <w:r>
        <w:rPr>
          <w:rFonts w:hint="eastAsia" w:ascii="仿宋" w:hAnsi="仿宋" w:eastAsia="仿宋" w:cs="仿宋"/>
          <w:sz w:val="24"/>
          <w:szCs w:val="24"/>
        </w:rPr>
        <w:t>人、在职教师</w:t>
      </w:r>
      <w:r>
        <w:rPr>
          <w:rFonts w:ascii="仿宋" w:hAnsi="仿宋" w:eastAsia="仿宋" w:cs="仿宋"/>
          <w:sz w:val="24"/>
          <w:szCs w:val="24"/>
        </w:rPr>
        <w:t>350</w:t>
      </w:r>
      <w:r>
        <w:rPr>
          <w:rFonts w:hint="eastAsia" w:ascii="仿宋" w:hAnsi="仿宋" w:eastAsia="仿宋" w:cs="仿宋"/>
          <w:sz w:val="24"/>
          <w:szCs w:val="24"/>
        </w:rPr>
        <w:t>人的办学规模。</w:t>
      </w:r>
    </w:p>
    <w:p>
      <w:pPr>
        <w:spacing w:line="260" w:lineRule="exac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color w:val="FF0000"/>
          <w:sz w:val="24"/>
          <w:szCs w:val="24"/>
        </w:rPr>
        <w:t>宜昌市中心人民医院</w:t>
      </w:r>
      <w:r>
        <w:rPr>
          <w:rFonts w:hint="eastAsia" w:ascii="仿宋" w:hAnsi="仿宋" w:eastAsia="仿宋" w:cs="仿宋"/>
          <w:sz w:val="24"/>
          <w:szCs w:val="24"/>
        </w:rPr>
        <w:t>：创立于1949年，是一所集医疗、预防、保健、教学、科研于一体的综合性三甲医院。目前拥有江北江南两个院区及三峡坝区分院，总占地面积 292亩，建筑面积42.15万平米。在职职工 3250人，编制床位数2442张，设有64个病区，24 个一级诊疗科目，44 个二级诊疗科目年门诊量170余万人次，出院量近9万余人次。医院学科优势明显。目前21个省级临床重点专科,34 个市级重点专科,13个市级中心。</w:t>
      </w:r>
    </w:p>
    <w:p>
      <w:pPr>
        <w:spacing w:line="260" w:lineRule="exac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color w:val="FF0000"/>
          <w:sz w:val="24"/>
          <w:szCs w:val="24"/>
        </w:rPr>
        <w:t>中国船舶重工集团公司第七一〇研究所：</w:t>
      </w:r>
      <w:r>
        <w:rPr>
          <w:rFonts w:hint="eastAsia" w:ascii="仿宋" w:hAnsi="仿宋" w:eastAsia="仿宋" w:cs="仿宋"/>
          <w:sz w:val="24"/>
          <w:szCs w:val="24"/>
        </w:rPr>
        <w:t>我国水中兵器、电子对抗、海洋工程、磁学专业国家重点骨干研究所，国家863、973计划高技术项目研究单位。设有1个博士后科研工作站，1个博士研究生招生培养点和3个硕士研究生招生培养点。拥有一支涉及机械、电子、水声、磁学、流体力学、探测制导、自动控制、精密仪器、计算机软硬件、系统仿真等专业经验丰富的科技队伍。</w:t>
      </w:r>
    </w:p>
    <w:p>
      <w:pPr>
        <w:widowControl/>
        <w:spacing w:line="260" w:lineRule="exact"/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color w:val="FF0000"/>
          <w:sz w:val="24"/>
          <w:szCs w:val="24"/>
        </w:rPr>
        <w:t>三峡日报传媒集团：</w:t>
      </w:r>
      <w:r>
        <w:rPr>
          <w:rFonts w:hint="eastAsia" w:ascii="仿宋" w:hAnsi="仿宋" w:eastAsia="仿宋" w:cs="仿宋"/>
          <w:sz w:val="24"/>
          <w:szCs w:val="24"/>
        </w:rPr>
        <w:t>湖北省市州报业的排头兵和中国地市报业中最具影响力的传媒之一，是全国文明单位、中国一级广告企业、湖北省首批文化体制改革试点单位，全国数字出版转型示范单位。集团业务涵盖报纸、期刊、网络出版、数据加工、软件开发、微博微信、音像出版、手机出版、网络视频、电子商务、户外传媒、家庭服务等众多领域。</w:t>
      </w:r>
    </w:p>
    <w:p>
      <w:pPr>
        <w:spacing w:line="260" w:lineRule="exac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color w:val="FF0000"/>
          <w:sz w:val="24"/>
          <w:szCs w:val="24"/>
        </w:rPr>
        <w:t>宜昌城市建设投资控股集团有限公司:</w:t>
      </w:r>
      <w:r>
        <w:rPr>
          <w:rFonts w:hint="eastAsia" w:ascii="仿宋" w:hAnsi="仿宋" w:eastAsia="仿宋" w:cs="仿宋"/>
          <w:sz w:val="24"/>
          <w:szCs w:val="24"/>
        </w:rPr>
        <w:t>经市人民政府批准成立的国有独资企业，注册资本30亿元，是一家集融资、投资、开发、建设和经营于一体的现代企业集团，主要承担宜昌新区、三峡枢纽港区和三峡临空经济区范围内基础设施建设，城区棚户区改造、安置房建设等任务，并投资经营其他市场化业务。</w:t>
      </w:r>
    </w:p>
    <w:p>
      <w:pPr>
        <w:spacing w:line="260" w:lineRule="exac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color w:val="FF0000"/>
          <w:sz w:val="24"/>
          <w:szCs w:val="24"/>
        </w:rPr>
        <w:t>安琪酵母股份有限公司</w:t>
      </w:r>
      <w:r>
        <w:rPr>
          <w:rFonts w:hint="eastAsia" w:ascii="仿宋" w:hAnsi="仿宋" w:eastAsia="仿宋" w:cs="仿宋"/>
          <w:sz w:val="24"/>
          <w:szCs w:val="24"/>
        </w:rPr>
        <w:t>:公司始创于1986年，是专业从事酵母、酵母衍生物及相关生物制品经营的国家重点高新技术企业、上市公司，亚洲第一、全球第三大酵母公司，全球最大的酵母抽提物供应商。“安琪”商标是中国驰名商标，在中国是酵母的代名词。2016年，公司实现营业收入48亿元，同比增长15.35%，净利润5.35亿元，同比增长91.04%。</w:t>
      </w:r>
    </w:p>
    <w:p>
      <w:pPr>
        <w:spacing w:line="260" w:lineRule="exac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color w:val="FF0000"/>
          <w:sz w:val="24"/>
          <w:szCs w:val="24"/>
        </w:rPr>
        <w:t>中国葛洲坝集团勘测设计有限公司:</w:t>
      </w:r>
      <w:r>
        <w:rPr>
          <w:rFonts w:hint="eastAsia" w:ascii="仿宋" w:hAnsi="仿宋" w:eastAsia="仿宋" w:cs="仿宋"/>
          <w:sz w:val="24"/>
          <w:szCs w:val="24"/>
        </w:rPr>
        <w:t>由原中国葛洲坝集团股份有限公司勘测设计院、葛洲坝集团试验检测公司、葛洲坝测绘地理信息技术有限公司、葛洲坝集团项目管理有限公司重组成立。所属四家成员企业都参与了葛洲坝、三峡等国家重大工程建设、在行业首屈一指。</w:t>
      </w:r>
    </w:p>
    <w:p>
      <w:pPr>
        <w:spacing w:line="260" w:lineRule="exac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color w:val="FF0000"/>
          <w:sz w:val="24"/>
          <w:szCs w:val="24"/>
        </w:rPr>
        <w:t>湖北兴发化工集团股份有限公司:</w:t>
      </w:r>
      <w:r>
        <w:rPr>
          <w:rFonts w:hint="eastAsia" w:ascii="仿宋" w:hAnsi="仿宋" w:eastAsia="仿宋" w:cs="仿宋"/>
          <w:sz w:val="24"/>
          <w:szCs w:val="24"/>
        </w:rPr>
        <w:t>一家集水电、矿产、化工、旅游、金融、贸易、物流等产业于一体的大型综合性企业集团，现有1家上市公司和63家子公司，员工9900人，位居中国企业500强第481位，预计到2020年实现销售收入500亿元。</w:t>
      </w:r>
    </w:p>
    <w:p>
      <w:pPr>
        <w:spacing w:line="260" w:lineRule="exac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color w:val="FF0000"/>
          <w:sz w:val="24"/>
          <w:szCs w:val="24"/>
        </w:rPr>
        <w:t>宜昌美光硅谷生命科技股份有限公司:</w:t>
      </w:r>
      <w:r>
        <w:rPr>
          <w:rFonts w:hint="eastAsia" w:ascii="仿宋" w:hAnsi="仿宋" w:eastAsia="仿宋" w:cs="仿宋"/>
          <w:sz w:val="24"/>
          <w:szCs w:val="24"/>
        </w:rPr>
        <w:t>美光硅谷公司由美国硅谷、斯坦福大学回国创业人才和国内医学界、企业界成功人士组成的国务院侨办重点创业团队创建的，属于湖北省百人计划和宜昌市三峡英才人才计划、特别是宜昌高新区重点支持的生物医学领域的高新技术企业。是一家研发、生产和应用现代化的生物医疗仪器公司，主要研发和生产包括循环肿瘤细胞、循环肿瘤基因和循环肿瘤蛋白质标志物检测的自动化仪器、试剂盒和深度学习的智能化肿瘤标志物分析检测系统。单项技术世界领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965A0"/>
    <w:rsid w:val="00200DE7"/>
    <w:rsid w:val="002D3C40"/>
    <w:rsid w:val="002F10CF"/>
    <w:rsid w:val="003116D8"/>
    <w:rsid w:val="00364E4E"/>
    <w:rsid w:val="00370E93"/>
    <w:rsid w:val="003C3514"/>
    <w:rsid w:val="0046454E"/>
    <w:rsid w:val="0057126D"/>
    <w:rsid w:val="00634F2A"/>
    <w:rsid w:val="006F3104"/>
    <w:rsid w:val="0075368D"/>
    <w:rsid w:val="007E0645"/>
    <w:rsid w:val="00816ADB"/>
    <w:rsid w:val="00842BA6"/>
    <w:rsid w:val="00914CAD"/>
    <w:rsid w:val="00A71EC0"/>
    <w:rsid w:val="00A965A0"/>
    <w:rsid w:val="00C7433A"/>
    <w:rsid w:val="00D41FAA"/>
    <w:rsid w:val="00D43137"/>
    <w:rsid w:val="00DA379A"/>
    <w:rsid w:val="00DE4FD2"/>
    <w:rsid w:val="00DF6499"/>
    <w:rsid w:val="00F21252"/>
    <w:rsid w:val="00F81A2C"/>
    <w:rsid w:val="20E24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6"/>
      <w:szCs w:val="16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character" w:styleId="5">
    <w:name w:val="Hyperlink"/>
    <w:basedOn w:val="4"/>
    <w:uiPriority w:val="0"/>
    <w:rPr>
      <w:color w:val="0000FF" w:themeColor="hyperlink"/>
      <w:u w:val="single"/>
    </w:rPr>
  </w:style>
  <w:style w:type="table" w:styleId="7">
    <w:name w:val="Table Grid"/>
    <w:basedOn w:val="6"/>
    <w:uiPriority w:val="0"/>
    <w:rPr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</w:rPr>
  </w:style>
  <w:style w:type="character" w:customStyle="1" w:styleId="9">
    <w:name w:val="批注框文本 Char"/>
    <w:basedOn w:val="4"/>
    <w:link w:val="2"/>
    <w:semiHidden/>
    <w:uiPriority w:val="99"/>
    <w:rPr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347</Words>
  <Characters>1981</Characters>
  <Lines>16</Lines>
  <Paragraphs>4</Paragraphs>
  <TotalTime>0</TotalTime>
  <ScaleCrop>false</ScaleCrop>
  <LinksUpToDate>false</LinksUpToDate>
  <CharactersWithSpaces>2324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2018-04-03T07:01:00Z</dcterms:created>
  <dc:creator>dreamsummit</dc:creator>
  <cp:lastModifiedBy>老蔡1411268856</cp:lastModifiedBy>
  <cp:lastPrinted>2018-04-03T07:00:00Z</cp:lastPrinted>
  <dcterms:modified xsi:type="dcterms:W3CDTF">2018-04-18T01:12:41Z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