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92"/>
        <w:rPr>
          <w:rFonts w:ascii="微软雅黑" w:hAnsi="微软雅黑" w:eastAsia="微软雅黑"/>
        </w:rPr>
      </w:pPr>
      <w:r>
        <w:rPr>
          <w:rFonts w:ascii="微软雅黑" w:hAnsi="微软雅黑" w:eastAsia="微软雅黑" w:cs="微软雅黑"/>
          <w:sz w:val="32"/>
        </w:rPr>
        <w:t xml:space="preserve">附件： </w:t>
      </w:r>
    </w:p>
    <w:p>
      <w:pPr>
        <w:pStyle w:val="2"/>
      </w:pPr>
      <w:r>
        <w:t xml:space="preserve">普通高等学校本科专业设置申请表 </w:t>
      </w:r>
    </w:p>
    <w:p>
      <w:pPr>
        <w:spacing w:after="0"/>
        <w:ind w:left="125" w:hanging="10"/>
        <w:jc w:val="center"/>
        <w:rPr>
          <w:rFonts w:ascii="微软雅黑" w:hAnsi="微软雅黑" w:eastAsia="微软雅黑"/>
        </w:rPr>
      </w:pPr>
      <w:r>
        <w:rPr>
          <w:rFonts w:ascii="微软雅黑" w:hAnsi="微软雅黑" w:eastAsia="微软雅黑" w:cs="微软雅黑"/>
          <w:sz w:val="36"/>
        </w:rPr>
        <w:t>（2019年修订）</w:t>
      </w:r>
      <w:r>
        <w:rPr>
          <w:rFonts w:ascii="微软雅黑" w:hAnsi="微软雅黑" w:eastAsia="微软雅黑" w:cs="Times New Roman"/>
          <w:sz w:val="36"/>
          <w:vertAlign w:val="subscript"/>
        </w:rPr>
        <w:t xml:space="preserve"> </w:t>
      </w:r>
    </w:p>
    <w:p>
      <w:pPr>
        <w:spacing w:after="48"/>
        <w:ind w:left="77"/>
        <w:rPr>
          <w:rFonts w:ascii="微软雅黑" w:hAnsi="微软雅黑" w:eastAsia="微软雅黑"/>
        </w:rPr>
      </w:pPr>
      <w:r>
        <w:rPr>
          <w:rFonts w:ascii="微软雅黑" w:hAnsi="微软雅黑" w:eastAsia="微软雅黑" w:cs="Times New Roman"/>
          <w:sz w:val="21"/>
        </w:rPr>
        <w:t xml:space="preserve"> </w:t>
      </w:r>
    </w:p>
    <w:p>
      <w:pPr>
        <w:spacing w:after="274"/>
        <w:ind w:left="77"/>
        <w:rPr>
          <w:rFonts w:ascii="微软雅黑" w:hAnsi="微软雅黑" w:eastAsia="微软雅黑" w:cs="Times New Roman"/>
          <w:sz w:val="21"/>
        </w:rPr>
      </w:pPr>
      <w:r>
        <w:rPr>
          <w:rFonts w:ascii="微软雅黑" w:hAnsi="微软雅黑" w:eastAsia="微软雅黑" w:cs="Times New Roman"/>
          <w:sz w:val="21"/>
        </w:rPr>
        <w:t xml:space="preserve">                         </w:t>
      </w:r>
    </w:p>
    <w:p>
      <w:pPr>
        <w:spacing w:after="274"/>
        <w:ind w:left="77"/>
        <w:rPr>
          <w:rFonts w:ascii="微软雅黑" w:hAnsi="微软雅黑" w:eastAsia="微软雅黑" w:cs="Times New Roman"/>
          <w:sz w:val="21"/>
        </w:rPr>
      </w:pPr>
    </w:p>
    <w:p>
      <w:pPr>
        <w:spacing w:after="274"/>
        <w:ind w:left="1676" w:leftChars="762" w:firstLine="643"/>
        <w:rPr>
          <w:rFonts w:ascii="微软雅黑" w:hAnsi="微软雅黑" w:eastAsia="微软雅黑"/>
          <w:sz w:val="24"/>
          <w:szCs w:val="24"/>
        </w:rPr>
      </w:pPr>
      <w:r>
        <w:rPr>
          <w:rFonts w:ascii="微软雅黑" w:hAnsi="微软雅黑" w:eastAsia="微软雅黑" w:cs="Times New Roman"/>
          <w:sz w:val="18"/>
          <w:szCs w:val="20"/>
        </w:rPr>
        <w:t xml:space="preserve">  </w:t>
      </w:r>
      <w:r>
        <w:rPr>
          <w:rFonts w:hint="eastAsia" w:ascii="微软雅黑" w:hAnsi="微软雅黑" w:eastAsia="微软雅黑" w:cs="微软雅黑"/>
          <w:sz w:val="24"/>
          <w:szCs w:val="24"/>
        </w:rPr>
        <w:t>校长签字：</w:t>
      </w:r>
    </w:p>
    <w:p>
      <w:pPr>
        <w:pStyle w:val="3"/>
        <w:spacing w:after="1" w:line="416" w:lineRule="auto"/>
        <w:ind w:left="2393" w:leftChars="1083" w:right="1243" w:rightChars="565"/>
        <w:jc w:val="left"/>
        <w:rPr>
          <w:sz w:val="24"/>
          <w:szCs w:val="24"/>
        </w:rPr>
      </w:pPr>
      <w:r>
        <w:rPr>
          <w:sz w:val="24"/>
          <w:szCs w:val="24"/>
        </w:rPr>
        <w:t>学校名称（盖章）：</w:t>
      </w:r>
      <w:r>
        <w:rPr>
          <w:rFonts w:hint="eastAsia"/>
          <w:sz w:val="24"/>
          <w:szCs w:val="24"/>
        </w:rPr>
        <w:t>武汉工程大学</w:t>
      </w:r>
    </w:p>
    <w:p>
      <w:pPr>
        <w:pStyle w:val="3"/>
        <w:spacing w:after="1" w:line="416" w:lineRule="auto"/>
        <w:ind w:left="2393" w:leftChars="1083" w:right="2233" w:rightChars="1015"/>
        <w:jc w:val="left"/>
        <w:rPr>
          <w:sz w:val="24"/>
          <w:szCs w:val="24"/>
        </w:rPr>
      </w:pPr>
      <w:r>
        <w:rPr>
          <w:sz w:val="24"/>
          <w:szCs w:val="24"/>
        </w:rPr>
        <w:t>学校主管部门：</w:t>
      </w:r>
      <w:r>
        <w:rPr>
          <w:rFonts w:hint="eastAsia"/>
          <w:sz w:val="24"/>
          <w:szCs w:val="24"/>
        </w:rPr>
        <w:t>湖北省教育厅</w:t>
      </w:r>
    </w:p>
    <w:p>
      <w:pPr>
        <w:pStyle w:val="3"/>
        <w:spacing w:after="1" w:line="416" w:lineRule="auto"/>
        <w:ind w:left="2393" w:leftChars="1083" w:right="3663" w:rightChars="1665"/>
        <w:jc w:val="left"/>
        <w:rPr>
          <w:sz w:val="24"/>
          <w:szCs w:val="24"/>
        </w:rPr>
      </w:pPr>
      <w:r>
        <w:rPr>
          <w:sz w:val="24"/>
          <w:szCs w:val="24"/>
        </w:rPr>
        <w:t>专业名称：</w:t>
      </w:r>
      <w:r>
        <w:rPr>
          <w:rFonts w:hint="eastAsia"/>
          <w:sz w:val="24"/>
          <w:szCs w:val="24"/>
        </w:rPr>
        <w:t>人工智能</w:t>
      </w:r>
    </w:p>
    <w:p>
      <w:pPr>
        <w:pStyle w:val="3"/>
        <w:spacing w:after="1" w:line="416" w:lineRule="auto"/>
        <w:ind w:left="2393" w:leftChars="1083" w:right="3663" w:rightChars="1665"/>
        <w:jc w:val="left"/>
        <w:rPr>
          <w:sz w:val="24"/>
          <w:szCs w:val="24"/>
        </w:rPr>
      </w:pPr>
      <w:r>
        <w:rPr>
          <w:sz w:val="24"/>
          <w:szCs w:val="24"/>
        </w:rPr>
        <w:t>专业代码：</w:t>
      </w:r>
      <w:r>
        <w:rPr>
          <w:rFonts w:cs="Arial"/>
          <w:sz w:val="24"/>
          <w:szCs w:val="24"/>
        </w:rPr>
        <w:t xml:space="preserve"> 080717T</w:t>
      </w:r>
    </w:p>
    <w:p>
      <w:pPr>
        <w:spacing w:after="1" w:line="416" w:lineRule="auto"/>
        <w:ind w:left="2393" w:leftChars="1083" w:right="1063" w:rightChars="483" w:hanging="10"/>
        <w:rPr>
          <w:rFonts w:ascii="微软雅黑" w:hAnsi="微软雅黑" w:eastAsia="微软雅黑" w:cs="微软雅黑"/>
          <w:sz w:val="24"/>
          <w:szCs w:val="24"/>
        </w:rPr>
      </w:pPr>
      <w:r>
        <w:rPr>
          <w:rFonts w:ascii="微软雅黑" w:hAnsi="微软雅黑" w:eastAsia="微软雅黑" w:cs="微软雅黑"/>
          <w:sz w:val="24"/>
          <w:szCs w:val="24"/>
        </w:rPr>
        <w:t>所属学科门类及专业类：</w:t>
      </w:r>
      <w:r>
        <w:rPr>
          <w:rFonts w:hint="eastAsia" w:ascii="微软雅黑" w:hAnsi="微软雅黑" w:eastAsia="微软雅黑" w:cs="微软雅黑"/>
          <w:sz w:val="24"/>
          <w:szCs w:val="24"/>
        </w:rPr>
        <w:t>工学电子信息类</w:t>
      </w:r>
    </w:p>
    <w:p>
      <w:pPr>
        <w:spacing w:after="1" w:line="416" w:lineRule="auto"/>
        <w:ind w:left="2393" w:leftChars="1083" w:right="1063" w:rightChars="483" w:hanging="10"/>
        <w:rPr>
          <w:rFonts w:ascii="微软雅黑" w:hAnsi="微软雅黑" w:eastAsia="微软雅黑" w:cs="微软雅黑"/>
          <w:sz w:val="24"/>
          <w:szCs w:val="24"/>
        </w:rPr>
      </w:pPr>
      <w:r>
        <w:rPr>
          <w:rFonts w:ascii="微软雅黑" w:hAnsi="微软雅黑" w:eastAsia="微软雅黑" w:cs="微软雅黑"/>
          <w:sz w:val="24"/>
          <w:szCs w:val="24"/>
        </w:rPr>
        <w:t>学位授予门类：</w:t>
      </w:r>
      <w:r>
        <w:rPr>
          <w:rFonts w:hint="eastAsia" w:ascii="微软雅黑" w:hAnsi="微软雅黑" w:eastAsia="微软雅黑" w:cs="微软雅黑"/>
          <w:sz w:val="24"/>
          <w:szCs w:val="24"/>
        </w:rPr>
        <w:t>工学学士</w:t>
      </w:r>
    </w:p>
    <w:p>
      <w:pPr>
        <w:spacing w:after="1" w:line="416" w:lineRule="auto"/>
        <w:ind w:left="2393" w:leftChars="1083" w:right="1063" w:rightChars="483" w:hanging="10"/>
        <w:rPr>
          <w:rFonts w:ascii="微软雅黑" w:hAnsi="微软雅黑" w:eastAsia="微软雅黑" w:cs="微软雅黑"/>
          <w:sz w:val="24"/>
          <w:szCs w:val="24"/>
        </w:rPr>
      </w:pPr>
      <w:r>
        <w:rPr>
          <w:rFonts w:ascii="微软雅黑" w:hAnsi="微软雅黑" w:eastAsia="微软雅黑" w:cs="微软雅黑"/>
          <w:sz w:val="24"/>
          <w:szCs w:val="24"/>
        </w:rPr>
        <w:t>修业年限：</w:t>
      </w:r>
      <w:r>
        <w:rPr>
          <w:rFonts w:hint="eastAsia" w:ascii="微软雅黑" w:hAnsi="微软雅黑" w:eastAsia="微软雅黑" w:cs="微软雅黑"/>
          <w:sz w:val="24"/>
          <w:szCs w:val="24"/>
        </w:rPr>
        <w:t>四年</w:t>
      </w:r>
    </w:p>
    <w:p>
      <w:pPr>
        <w:spacing w:after="1" w:line="416" w:lineRule="auto"/>
        <w:ind w:left="2393" w:leftChars="1083" w:right="1063" w:rightChars="483" w:hanging="10"/>
        <w:rPr>
          <w:rFonts w:ascii="微软雅黑" w:hAnsi="微软雅黑" w:eastAsia="微软雅黑" w:cs="微软雅黑"/>
          <w:sz w:val="24"/>
          <w:szCs w:val="24"/>
        </w:rPr>
      </w:pPr>
      <w:r>
        <w:rPr>
          <w:rFonts w:ascii="微软雅黑" w:hAnsi="微软雅黑" w:eastAsia="微软雅黑" w:cs="微软雅黑"/>
          <w:sz w:val="24"/>
          <w:szCs w:val="24"/>
        </w:rPr>
        <w:t>申请时间：</w:t>
      </w:r>
      <w:r>
        <w:rPr>
          <w:rFonts w:hint="eastAsia" w:ascii="微软雅黑" w:hAnsi="微软雅黑" w:eastAsia="微软雅黑" w:cs="微软雅黑"/>
          <w:sz w:val="24"/>
          <w:szCs w:val="24"/>
        </w:rPr>
        <w:t>2019年6月30日</w:t>
      </w:r>
    </w:p>
    <w:p>
      <w:pPr>
        <w:spacing w:after="1" w:line="416" w:lineRule="auto"/>
        <w:ind w:left="2393" w:leftChars="1083" w:right="1063" w:rightChars="483" w:hanging="10"/>
        <w:rPr>
          <w:rFonts w:ascii="微软雅黑" w:hAnsi="微软雅黑" w:eastAsia="微软雅黑" w:cs="微软雅黑"/>
          <w:sz w:val="24"/>
          <w:szCs w:val="24"/>
        </w:rPr>
      </w:pPr>
      <w:r>
        <w:rPr>
          <w:rFonts w:ascii="微软雅黑" w:hAnsi="微软雅黑" w:eastAsia="微软雅黑" w:cs="微软雅黑"/>
          <w:sz w:val="24"/>
          <w:szCs w:val="24"/>
        </w:rPr>
        <w:t>专业负责人：</w:t>
      </w:r>
      <w:r>
        <w:rPr>
          <w:rFonts w:hint="eastAsia" w:ascii="微软雅黑" w:hAnsi="微软雅黑" w:eastAsia="微软雅黑" w:cs="微软雅黑"/>
          <w:sz w:val="24"/>
          <w:szCs w:val="24"/>
        </w:rPr>
        <w:t>张彦铎</w:t>
      </w:r>
    </w:p>
    <w:p>
      <w:pPr>
        <w:spacing w:after="1" w:line="416" w:lineRule="auto"/>
        <w:ind w:left="2393" w:leftChars="1083" w:right="1063" w:rightChars="483" w:hanging="10"/>
        <w:rPr>
          <w:rFonts w:ascii="微软雅黑" w:hAnsi="微软雅黑" w:eastAsia="微软雅黑" w:cs="Times New Roman"/>
          <w:sz w:val="18"/>
          <w:szCs w:val="20"/>
        </w:rPr>
      </w:pPr>
      <w:r>
        <w:rPr>
          <w:rFonts w:ascii="微软雅黑" w:hAnsi="微软雅黑" w:eastAsia="微软雅黑" w:cs="微软雅黑"/>
          <w:sz w:val="24"/>
          <w:szCs w:val="24"/>
        </w:rPr>
        <w:t>联系电话：</w:t>
      </w:r>
      <w:r>
        <w:rPr>
          <w:rFonts w:ascii="微软雅黑" w:hAnsi="微软雅黑" w:eastAsia="微软雅黑" w:cs="Arial"/>
          <w:sz w:val="24"/>
          <w:szCs w:val="24"/>
        </w:rPr>
        <w:t xml:space="preserve"> </w:t>
      </w:r>
      <w:r>
        <w:rPr>
          <w:rFonts w:hint="eastAsia" w:ascii="微软雅黑" w:hAnsi="微软雅黑" w:eastAsia="微软雅黑" w:cs="Arial"/>
          <w:sz w:val="24"/>
          <w:szCs w:val="24"/>
        </w:rPr>
        <w:t>13871223677</w:t>
      </w:r>
      <w:r>
        <w:rPr>
          <w:rFonts w:ascii="微软雅黑" w:hAnsi="微软雅黑" w:eastAsia="微软雅黑" w:cs="Times New Roman"/>
          <w:sz w:val="18"/>
          <w:szCs w:val="20"/>
        </w:rPr>
        <w:t xml:space="preserve"> </w:t>
      </w:r>
    </w:p>
    <w:p>
      <w:pPr>
        <w:spacing w:after="1" w:line="416" w:lineRule="auto"/>
        <w:ind w:left="2393" w:leftChars="1083" w:right="1063" w:rightChars="483" w:hanging="10"/>
        <w:rPr>
          <w:rFonts w:ascii="微软雅黑" w:hAnsi="微软雅黑" w:eastAsia="微软雅黑"/>
          <w:sz w:val="20"/>
          <w:szCs w:val="20"/>
        </w:rPr>
      </w:pPr>
    </w:p>
    <w:p>
      <w:pPr>
        <w:spacing w:after="170"/>
        <w:ind w:left="125" w:right="43" w:hanging="10"/>
        <w:jc w:val="center"/>
        <w:rPr>
          <w:rFonts w:ascii="微软雅黑" w:hAnsi="微软雅黑" w:eastAsia="微软雅黑"/>
        </w:rPr>
      </w:pPr>
      <w:r>
        <w:rPr>
          <w:rFonts w:ascii="微软雅黑" w:hAnsi="微软雅黑" w:eastAsia="微软雅黑" w:cs="微软雅黑"/>
          <w:sz w:val="36"/>
        </w:rPr>
        <w:t>教育部制</w:t>
      </w:r>
      <w:r>
        <w:rPr>
          <w:rFonts w:ascii="微软雅黑" w:hAnsi="微软雅黑" w:eastAsia="微软雅黑" w:cs="Arial"/>
          <w:sz w:val="36"/>
        </w:rPr>
        <w:t xml:space="preserve"> </w:t>
      </w:r>
    </w:p>
    <w:p>
      <w:pPr>
        <w:rPr>
          <w:rFonts w:ascii="微软雅黑" w:hAnsi="微软雅黑" w:eastAsia="微软雅黑"/>
        </w:rPr>
      </w:pPr>
    </w:p>
    <w:p>
      <w:pPr>
        <w:pStyle w:val="3"/>
      </w:pPr>
      <w:r>
        <w:t xml:space="preserve">1.学校基本情况 </w:t>
      </w:r>
    </w:p>
    <w:p>
      <w:pPr>
        <w:spacing w:after="0"/>
        <w:ind w:left="77"/>
        <w:rPr>
          <w:rFonts w:ascii="微软雅黑" w:hAnsi="微软雅黑" w:eastAsia="微软雅黑" w:cs="微软雅黑"/>
          <w:sz w:val="24"/>
        </w:rPr>
      </w:pPr>
      <w:r>
        <w:rPr>
          <w:rFonts w:ascii="微软雅黑" w:hAnsi="微软雅黑" w:eastAsia="微软雅黑" w:cs="微软雅黑"/>
          <w:sz w:val="24"/>
        </w:rPr>
        <w:t xml:space="preserve"> </w:t>
      </w:r>
    </w:p>
    <w:tbl>
      <w:tblPr>
        <w:tblStyle w:val="21"/>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2"/>
        <w:gridCol w:w="2178"/>
        <w:gridCol w:w="285"/>
        <w:gridCol w:w="1767"/>
        <w:gridCol w:w="1408"/>
        <w:gridCol w:w="19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4"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学校名称</w:t>
            </w:r>
          </w:p>
        </w:tc>
        <w:tc>
          <w:tcPr>
            <w:tcW w:w="2178" w:type="dxa"/>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武汉工程大学</w:t>
            </w:r>
          </w:p>
        </w:tc>
        <w:tc>
          <w:tcPr>
            <w:tcW w:w="2052" w:type="dxa"/>
            <w:gridSpan w:val="2"/>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学校代码</w:t>
            </w:r>
          </w:p>
        </w:tc>
        <w:tc>
          <w:tcPr>
            <w:tcW w:w="3354" w:type="dxa"/>
            <w:gridSpan w:val="2"/>
            <w:vAlign w:val="center"/>
          </w:tcPr>
          <w:p>
            <w:pPr>
              <w:widowControl w:val="0"/>
              <w:autoSpaceDE w:val="0"/>
              <w:autoSpaceDN w:val="0"/>
              <w:jc w:val="center"/>
              <w:rPr>
                <w:rFonts w:ascii="仿宋" w:hAnsi="仿宋" w:eastAsia="仿宋" w:cs="宋体"/>
                <w:b/>
                <w:color w:val="auto"/>
                <w:sz w:val="24"/>
                <w:szCs w:val="24"/>
                <w:lang w:bidi="zh-CN"/>
              </w:rPr>
            </w:pPr>
            <w:r>
              <w:rPr>
                <w:rFonts w:hint="eastAsia" w:ascii="仿宋" w:hAnsi="仿宋" w:eastAsia="仿宋" w:cs="宋体"/>
                <w:b/>
                <w:color w:val="auto"/>
                <w:sz w:val="24"/>
                <w:szCs w:val="24"/>
                <w:lang w:bidi="zh-CN"/>
              </w:rPr>
              <w:t>10490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1"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邮政编码</w:t>
            </w:r>
          </w:p>
        </w:tc>
        <w:tc>
          <w:tcPr>
            <w:tcW w:w="2178" w:type="dxa"/>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430073</w:t>
            </w:r>
          </w:p>
        </w:tc>
        <w:tc>
          <w:tcPr>
            <w:tcW w:w="2052" w:type="dxa"/>
            <w:gridSpan w:val="2"/>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学校网址</w:t>
            </w:r>
          </w:p>
        </w:tc>
        <w:tc>
          <w:tcPr>
            <w:tcW w:w="3354" w:type="dxa"/>
            <w:gridSpan w:val="2"/>
            <w:vAlign w:val="center"/>
          </w:tcPr>
          <w:p>
            <w:pPr>
              <w:widowControl w:val="0"/>
              <w:autoSpaceDE w:val="0"/>
              <w:autoSpaceDN w:val="0"/>
              <w:jc w:val="center"/>
              <w:rPr>
                <w:rFonts w:ascii="仿宋" w:hAnsi="仿宋" w:eastAsia="仿宋" w:cs="宋体"/>
                <w:b/>
                <w:color w:val="auto"/>
                <w:sz w:val="24"/>
                <w:szCs w:val="24"/>
                <w:lang w:val="zh-CN" w:bidi="zh-CN"/>
              </w:rPr>
            </w:pPr>
            <w:r>
              <w:rPr>
                <w:rFonts w:hint="eastAsia" w:ascii="仿宋" w:hAnsi="仿宋" w:eastAsia="仿宋" w:cs="宋体"/>
                <w:b/>
                <w:color w:val="auto"/>
                <w:sz w:val="24"/>
                <w:szCs w:val="24"/>
                <w:lang w:val="zh-CN" w:bidi="zh-CN"/>
              </w:rPr>
              <w:t>http://www.wit.edu.cn/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0" w:hRule="atLeast"/>
          <w:jc w:val="center"/>
        </w:trPr>
        <w:tc>
          <w:tcPr>
            <w:tcW w:w="1772" w:type="dxa"/>
            <w:vAlign w:val="center"/>
          </w:tcPr>
          <w:p>
            <w:pPr>
              <w:widowControl w:val="0"/>
              <w:autoSpaceDE w:val="0"/>
              <w:autoSpaceDN w:val="0"/>
              <w:spacing w:line="304"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学校办学基本</w:t>
            </w:r>
          </w:p>
          <w:p>
            <w:pPr>
              <w:widowControl w:val="0"/>
              <w:autoSpaceDE w:val="0"/>
              <w:autoSpaceDN w:val="0"/>
              <w:spacing w:line="304"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类型</w:t>
            </w:r>
          </w:p>
        </w:tc>
        <w:tc>
          <w:tcPr>
            <w:tcW w:w="7584" w:type="dxa"/>
            <w:gridSpan w:val="5"/>
            <w:vAlign w:val="center"/>
          </w:tcPr>
          <w:p>
            <w:pPr>
              <w:widowControl w:val="0"/>
              <w:autoSpaceDE w:val="0"/>
              <w:autoSpaceDN w:val="0"/>
              <w:spacing w:line="276" w:lineRule="auto"/>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□教育部直属院校</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A3"/>
            </w:r>
            <w:r>
              <w:rPr>
                <w:rFonts w:ascii="仿宋" w:hAnsi="仿宋" w:eastAsia="仿宋" w:cs="宋体"/>
                <w:b/>
                <w:color w:val="auto"/>
                <w:sz w:val="24"/>
                <w:szCs w:val="24"/>
                <w:lang w:val="zh-CN" w:bidi="zh-CN"/>
              </w:rPr>
              <w:t>其他部委所属院校</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地方院校</w:t>
            </w:r>
          </w:p>
          <w:p>
            <w:pPr>
              <w:widowControl w:val="0"/>
              <w:tabs>
                <w:tab w:val="left" w:pos="1455"/>
              </w:tabs>
              <w:autoSpaceDE w:val="0"/>
              <w:autoSpaceDN w:val="0"/>
              <w:spacing w:line="276" w:lineRule="auto"/>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公办</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□民办</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□中外合作办学机构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2"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现有本科</w:t>
            </w:r>
          </w:p>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专业数</w:t>
            </w:r>
          </w:p>
        </w:tc>
        <w:tc>
          <w:tcPr>
            <w:tcW w:w="2463" w:type="dxa"/>
            <w:gridSpan w:val="2"/>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70</w:t>
            </w:r>
          </w:p>
        </w:tc>
        <w:tc>
          <w:tcPr>
            <w:tcW w:w="3175" w:type="dxa"/>
            <w:gridSpan w:val="2"/>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上一年度全校本科</w:t>
            </w:r>
          </w:p>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招生人数</w:t>
            </w:r>
          </w:p>
        </w:tc>
        <w:tc>
          <w:tcPr>
            <w:tcW w:w="1946" w:type="dxa"/>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4764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0"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上一年度全校</w:t>
            </w:r>
          </w:p>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本科毕业人数</w:t>
            </w:r>
          </w:p>
        </w:tc>
        <w:tc>
          <w:tcPr>
            <w:tcW w:w="2463" w:type="dxa"/>
            <w:gridSpan w:val="2"/>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4434</w:t>
            </w:r>
          </w:p>
        </w:tc>
        <w:tc>
          <w:tcPr>
            <w:tcW w:w="3175" w:type="dxa"/>
            <w:gridSpan w:val="2"/>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学校所在省市区</w:t>
            </w:r>
          </w:p>
        </w:tc>
        <w:tc>
          <w:tcPr>
            <w:tcW w:w="1946" w:type="dxa"/>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湖北省武汉市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0" w:hRule="atLeast"/>
          <w:jc w:val="center"/>
        </w:trPr>
        <w:tc>
          <w:tcPr>
            <w:tcW w:w="1772" w:type="dxa"/>
            <w:vAlign w:val="center"/>
          </w:tcPr>
          <w:p>
            <w:pPr>
              <w:widowControl w:val="0"/>
              <w:autoSpaceDE w:val="0"/>
              <w:autoSpaceDN w:val="0"/>
              <w:spacing w:line="249"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已有专业学科</w:t>
            </w:r>
          </w:p>
          <w:p>
            <w:pPr>
              <w:widowControl w:val="0"/>
              <w:autoSpaceDE w:val="0"/>
              <w:autoSpaceDN w:val="0"/>
              <w:spacing w:line="249"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门类</w:t>
            </w:r>
          </w:p>
        </w:tc>
        <w:tc>
          <w:tcPr>
            <w:tcW w:w="7584" w:type="dxa"/>
            <w:gridSpan w:val="5"/>
            <w:vAlign w:val="center"/>
          </w:tcPr>
          <w:p>
            <w:pPr>
              <w:widowControl w:val="0"/>
              <w:autoSpaceDE w:val="0"/>
              <w:autoSpaceDN w:val="0"/>
              <w:spacing w:line="276" w:lineRule="auto"/>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□哲学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经济学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法学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□教育学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文学</w:t>
            </w:r>
            <w:r>
              <w:rPr>
                <w:rFonts w:hint="eastAsia" w:ascii="仿宋" w:hAnsi="仿宋" w:eastAsia="仿宋" w:cs="宋体"/>
                <w:b/>
                <w:color w:val="auto"/>
                <w:sz w:val="24"/>
                <w:szCs w:val="24"/>
                <w:lang w:val="zh-CN" w:bidi="zh-CN"/>
              </w:rPr>
              <w:t xml:space="preserve">    </w:t>
            </w:r>
            <w:r>
              <w:rPr>
                <w:rFonts w:ascii="仿宋" w:hAnsi="仿宋" w:eastAsia="仿宋" w:cs="宋体"/>
                <w:b/>
                <w:color w:val="auto"/>
                <w:spacing w:val="-1"/>
                <w:sz w:val="24"/>
                <w:szCs w:val="24"/>
                <w:lang w:val="zh-CN" w:bidi="zh-CN"/>
              </w:rPr>
              <w:t>□</w:t>
            </w:r>
            <w:r>
              <w:rPr>
                <w:rFonts w:ascii="仿宋" w:hAnsi="仿宋" w:eastAsia="仿宋" w:cs="宋体"/>
                <w:b/>
                <w:color w:val="auto"/>
                <w:sz w:val="24"/>
                <w:szCs w:val="24"/>
                <w:lang w:val="zh-CN" w:bidi="zh-CN"/>
              </w:rPr>
              <w:t>历史学</w:t>
            </w:r>
          </w:p>
          <w:p>
            <w:pPr>
              <w:widowControl w:val="0"/>
              <w:tabs>
                <w:tab w:val="left" w:pos="1091"/>
              </w:tabs>
              <w:autoSpaceDE w:val="0"/>
              <w:autoSpaceDN w:val="0"/>
              <w:spacing w:line="276" w:lineRule="auto"/>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理学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工学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□农学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□医学</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sym w:font="Wingdings 2" w:char="0052"/>
            </w:r>
            <w:r>
              <w:rPr>
                <w:rFonts w:ascii="仿宋" w:hAnsi="仿宋" w:eastAsia="仿宋" w:cs="宋体"/>
                <w:b/>
                <w:color w:val="auto"/>
                <w:sz w:val="24"/>
                <w:szCs w:val="24"/>
                <w:lang w:val="zh-CN" w:bidi="zh-CN"/>
              </w:rPr>
              <w:t>管理学</w:t>
            </w:r>
            <w:r>
              <w:rPr>
                <w:rFonts w:hint="eastAsia" w:ascii="仿宋" w:hAnsi="仿宋" w:eastAsia="仿宋" w:cs="宋体"/>
                <w:b/>
                <w:color w:val="auto"/>
                <w:sz w:val="24"/>
                <w:szCs w:val="24"/>
                <w:lang w:val="zh-CN" w:bidi="zh-CN"/>
              </w:rPr>
              <w:t xml:space="preserve">   </w:t>
            </w:r>
            <w:r>
              <w:rPr>
                <w:rFonts w:ascii="仿宋" w:hAnsi="仿宋" w:eastAsia="仿宋" w:cs="宋体"/>
                <w:b/>
                <w:color w:val="auto"/>
                <w:spacing w:val="-1"/>
                <w:sz w:val="24"/>
                <w:szCs w:val="24"/>
                <w:lang w:val="zh-CN" w:bidi="zh-CN"/>
              </w:rPr>
              <w:sym w:font="Wingdings 2" w:char="0052"/>
            </w:r>
            <w:r>
              <w:rPr>
                <w:rFonts w:ascii="仿宋" w:hAnsi="仿宋" w:eastAsia="仿宋" w:cs="宋体"/>
                <w:b/>
                <w:color w:val="auto"/>
                <w:sz w:val="24"/>
                <w:szCs w:val="24"/>
                <w:lang w:val="zh-CN" w:bidi="zh-CN"/>
              </w:rPr>
              <w:t>艺术学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0"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p>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学校性质</w:t>
            </w:r>
          </w:p>
        </w:tc>
        <w:tc>
          <w:tcPr>
            <w:tcW w:w="7584" w:type="dxa"/>
            <w:gridSpan w:val="5"/>
            <w:vAlign w:val="center"/>
          </w:tcPr>
          <w:p>
            <w:pPr>
              <w:widowControl w:val="0"/>
              <w:autoSpaceDE w:val="0"/>
              <w:autoSpaceDN w:val="0"/>
              <w:rPr>
                <w:rFonts w:ascii="仿宋" w:hAnsi="仿宋" w:eastAsia="仿宋" w:cs="宋体"/>
                <w:b/>
                <w:color w:val="auto"/>
                <w:sz w:val="24"/>
                <w:szCs w:val="24"/>
                <w:lang w:val="zh-CN" w:bidi="zh-CN"/>
              </w:rPr>
            </w:pPr>
            <w:r>
              <w:rPr>
                <w:rFonts w:hint="eastAsia" w:ascii="仿宋" w:hAnsi="仿宋" w:eastAsia="仿宋" w:cs="仿宋"/>
                <w:b/>
                <w:color w:val="auto"/>
                <w:sz w:val="24"/>
                <w:szCs w:val="24"/>
                <w:lang w:val="zh-CN" w:bidi="zh-CN"/>
              </w:rPr>
              <w:t>●</w:t>
            </w:r>
            <w:r>
              <w:rPr>
                <w:rFonts w:ascii="仿宋" w:hAnsi="仿宋" w:eastAsia="仿宋" w:cs="宋体"/>
                <w:b/>
                <w:color w:val="auto"/>
                <w:sz w:val="24"/>
                <w:szCs w:val="24"/>
                <w:lang w:val="zh-CN" w:bidi="zh-CN"/>
              </w:rPr>
              <w:t>综合</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○理工</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○农业</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○林业</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○医药</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○师范</w:t>
            </w:r>
          </w:p>
          <w:p>
            <w:pPr>
              <w:widowControl w:val="0"/>
              <w:autoSpaceDE w:val="0"/>
              <w:autoSpaceDN w:val="0"/>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○语言</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○财经</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○政法</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○体育</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○艺术</w:t>
            </w:r>
            <w:r>
              <w:rPr>
                <w:rFonts w:hint="eastAsia" w:ascii="仿宋" w:hAnsi="仿宋" w:eastAsia="仿宋" w:cs="宋体"/>
                <w:b/>
                <w:color w:val="auto"/>
                <w:sz w:val="24"/>
                <w:szCs w:val="24"/>
                <w:lang w:val="zh-CN" w:bidi="zh-CN"/>
              </w:rPr>
              <w:t xml:space="preserve">  </w:t>
            </w:r>
            <w:r>
              <w:rPr>
                <w:rFonts w:ascii="仿宋" w:hAnsi="仿宋" w:eastAsia="仿宋" w:cs="宋体"/>
                <w:b/>
                <w:color w:val="auto"/>
                <w:sz w:val="24"/>
                <w:szCs w:val="24"/>
                <w:lang w:val="zh-CN" w:bidi="zh-CN"/>
              </w:rPr>
              <w:t>○民族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9" w:hRule="atLeast"/>
          <w:jc w:val="center"/>
        </w:trPr>
        <w:tc>
          <w:tcPr>
            <w:tcW w:w="1772" w:type="dxa"/>
            <w:vAlign w:val="center"/>
          </w:tcPr>
          <w:p>
            <w:pPr>
              <w:widowControl w:val="0"/>
              <w:autoSpaceDE w:val="0"/>
              <w:autoSpaceDN w:val="0"/>
              <w:spacing w:line="304"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专任教师总数</w:t>
            </w:r>
          </w:p>
        </w:tc>
        <w:tc>
          <w:tcPr>
            <w:tcW w:w="2463" w:type="dxa"/>
            <w:gridSpan w:val="2"/>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1226</w:t>
            </w:r>
          </w:p>
        </w:tc>
        <w:tc>
          <w:tcPr>
            <w:tcW w:w="3175" w:type="dxa"/>
            <w:gridSpan w:val="2"/>
            <w:vAlign w:val="center"/>
          </w:tcPr>
          <w:p>
            <w:pPr>
              <w:widowControl w:val="0"/>
              <w:autoSpaceDE w:val="0"/>
              <w:autoSpaceDN w:val="0"/>
              <w:spacing w:line="249"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专任教师中副教授及以上</w:t>
            </w:r>
          </w:p>
          <w:p>
            <w:pPr>
              <w:widowControl w:val="0"/>
              <w:autoSpaceDE w:val="0"/>
              <w:autoSpaceDN w:val="0"/>
              <w:spacing w:line="249"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职称教师数</w:t>
            </w:r>
          </w:p>
        </w:tc>
        <w:tc>
          <w:tcPr>
            <w:tcW w:w="1946" w:type="dxa"/>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706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6"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学校主管部门</w:t>
            </w:r>
          </w:p>
        </w:tc>
        <w:tc>
          <w:tcPr>
            <w:tcW w:w="2463" w:type="dxa"/>
            <w:gridSpan w:val="2"/>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湖北省教育厅</w:t>
            </w:r>
          </w:p>
        </w:tc>
        <w:tc>
          <w:tcPr>
            <w:tcW w:w="3175" w:type="dxa"/>
            <w:gridSpan w:val="2"/>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建校时间</w:t>
            </w:r>
          </w:p>
        </w:tc>
        <w:tc>
          <w:tcPr>
            <w:tcW w:w="1946" w:type="dxa"/>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1972年6月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8" w:hRule="atLeast"/>
          <w:jc w:val="center"/>
        </w:trPr>
        <w:tc>
          <w:tcPr>
            <w:tcW w:w="1772" w:type="dxa"/>
            <w:vAlign w:val="center"/>
          </w:tcPr>
          <w:p>
            <w:pPr>
              <w:widowControl w:val="0"/>
              <w:autoSpaceDE w:val="0"/>
              <w:autoSpaceDN w:val="0"/>
              <w:spacing w:line="242"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首次举办本科</w:t>
            </w:r>
          </w:p>
          <w:p>
            <w:pPr>
              <w:widowControl w:val="0"/>
              <w:autoSpaceDE w:val="0"/>
              <w:autoSpaceDN w:val="0"/>
              <w:spacing w:line="242"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教育年份</w:t>
            </w:r>
          </w:p>
        </w:tc>
        <w:tc>
          <w:tcPr>
            <w:tcW w:w="7584" w:type="dxa"/>
            <w:gridSpan w:val="5"/>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1977年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8" w:hRule="atLeast"/>
          <w:jc w:val="center"/>
        </w:trPr>
        <w:tc>
          <w:tcPr>
            <w:tcW w:w="1772" w:type="dxa"/>
            <w:vAlign w:val="center"/>
          </w:tcPr>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曾用名</w:t>
            </w:r>
          </w:p>
        </w:tc>
        <w:tc>
          <w:tcPr>
            <w:tcW w:w="7584" w:type="dxa"/>
            <w:gridSpan w:val="5"/>
            <w:vAlign w:val="center"/>
          </w:tcPr>
          <w:p>
            <w:pPr>
              <w:widowControl w:val="0"/>
              <w:autoSpaceDE w:val="0"/>
              <w:autoSpaceDN w:val="0"/>
              <w:jc w:val="center"/>
              <w:rPr>
                <w:rFonts w:ascii="仿宋" w:hAnsi="仿宋" w:eastAsia="仿宋" w:cs="宋体"/>
                <w:color w:val="auto"/>
                <w:sz w:val="24"/>
                <w:szCs w:val="24"/>
                <w:lang w:bidi="zh-CN"/>
              </w:rPr>
            </w:pPr>
            <w:r>
              <w:rPr>
                <w:rFonts w:hint="eastAsia" w:ascii="仿宋" w:hAnsi="仿宋" w:eastAsia="仿宋" w:cs="宋体"/>
                <w:color w:val="auto"/>
                <w:sz w:val="24"/>
                <w:szCs w:val="24"/>
                <w:lang w:bidi="zh-CN"/>
              </w:rPr>
              <w:t>湖北化工石油学院，武汉化工学院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995" w:hRule="atLeast"/>
          <w:jc w:val="center"/>
        </w:trPr>
        <w:tc>
          <w:tcPr>
            <w:tcW w:w="1772" w:type="dxa"/>
            <w:vAlign w:val="center"/>
          </w:tcPr>
          <w:p>
            <w:pPr>
              <w:widowControl w:val="0"/>
              <w:autoSpaceDE w:val="0"/>
              <w:autoSpaceDN w:val="0"/>
              <w:spacing w:line="364"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学校简介和</w:t>
            </w:r>
          </w:p>
          <w:p>
            <w:pPr>
              <w:widowControl w:val="0"/>
              <w:autoSpaceDE w:val="0"/>
              <w:autoSpaceDN w:val="0"/>
              <w:spacing w:line="364"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历史沿革</w:t>
            </w:r>
          </w:p>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（300 字以内）</w:t>
            </w:r>
          </w:p>
        </w:tc>
        <w:tc>
          <w:tcPr>
            <w:tcW w:w="7584" w:type="dxa"/>
            <w:gridSpan w:val="5"/>
            <w:vAlign w:val="center"/>
          </w:tcPr>
          <w:p>
            <w:pPr>
              <w:widowControl w:val="0"/>
              <w:autoSpaceDE w:val="0"/>
              <w:autoSpaceDN w:val="0"/>
              <w:spacing w:line="240" w:lineRule="auto"/>
              <w:ind w:firstLine="480" w:firstLineChars="200"/>
              <w:rPr>
                <w:rFonts w:ascii="仿宋" w:hAnsi="仿宋" w:eastAsia="仿宋" w:cs="宋体"/>
                <w:sz w:val="24"/>
                <w:szCs w:val="24"/>
                <w:lang w:val="zh-CN" w:bidi="zh-CN"/>
              </w:rPr>
            </w:pPr>
            <w:r>
              <w:rPr>
                <w:rFonts w:hint="eastAsia" w:ascii="仿宋" w:hAnsi="仿宋" w:eastAsia="仿宋" w:cs="宋体"/>
                <w:sz w:val="24"/>
                <w:szCs w:val="24"/>
                <w:lang w:val="zh-CN" w:bidi="zh-CN"/>
              </w:rPr>
              <w:t>武汉工程大学创建于1972年6月，原名湖北化工石油学院，隶属湖北省。1980年3月，经教育部批准，更名为武汉化工学院，改由原化工部主管。1998年7月，随着高校管理体制的调整，学校划转到湖北省管理，实行中央与地方共建，以湖北省管理为主。同年，学校通过教育部本科教学合格评价，并获得硕士学位授予权。2006年2月，经教育部同意、湖北省人民政府批准，正式更名为武汉工程大学。2006年以优秀的成绩通过教育部对我校本科教学工作水平的评估。2012年学校入选中西部高校基础能力建设工程（小211工程）。2013年学校被国务院学位委员会确定为博士学位授予单位。</w:t>
            </w:r>
          </w:p>
          <w:p>
            <w:pPr>
              <w:widowControl w:val="0"/>
              <w:autoSpaceDE w:val="0"/>
              <w:autoSpaceDN w:val="0"/>
              <w:spacing w:line="240" w:lineRule="auto"/>
              <w:ind w:firstLine="480" w:firstLineChars="200"/>
              <w:rPr>
                <w:rFonts w:ascii="仿宋" w:hAnsi="仿宋" w:eastAsia="仿宋" w:cs="宋体"/>
                <w:color w:val="auto"/>
                <w:sz w:val="24"/>
                <w:szCs w:val="24"/>
                <w:lang w:val="zh-CN" w:bidi="zh-CN"/>
              </w:rPr>
            </w:pPr>
            <w:r>
              <w:rPr>
                <w:rFonts w:hint="eastAsia" w:ascii="仿宋" w:hAnsi="仿宋" w:eastAsia="仿宋" w:cs="宋体"/>
                <w:sz w:val="24"/>
                <w:szCs w:val="24"/>
                <w:lang w:val="zh-CN" w:bidi="zh-CN"/>
              </w:rPr>
              <w:t>经过40多年的建设，学校已由单一的工科院校发展成为一所办学条件较好、实力较强、水平较高、特色鲜明的教学研究型大学。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71" w:hRule="atLeast"/>
          <w:jc w:val="center"/>
        </w:trPr>
        <w:tc>
          <w:tcPr>
            <w:tcW w:w="1772" w:type="dxa"/>
            <w:vAlign w:val="center"/>
          </w:tcPr>
          <w:p>
            <w:pPr>
              <w:widowControl w:val="0"/>
              <w:autoSpaceDE w:val="0"/>
              <w:autoSpaceDN w:val="0"/>
              <w:spacing w:line="364" w:lineRule="auto"/>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 xml:space="preserve">学校近五年专 </w:t>
            </w:r>
            <w:r>
              <w:rPr>
                <w:rFonts w:ascii="仿宋" w:hAnsi="仿宋" w:eastAsia="仿宋" w:cs="宋体"/>
                <w:b/>
                <w:color w:val="auto"/>
                <w:spacing w:val="-3"/>
                <w:sz w:val="24"/>
                <w:szCs w:val="24"/>
                <w:lang w:val="zh-CN" w:bidi="zh-CN"/>
              </w:rPr>
              <w:t>业增设、停招、</w:t>
            </w:r>
            <w:r>
              <w:rPr>
                <w:rFonts w:ascii="仿宋" w:hAnsi="仿宋" w:eastAsia="仿宋" w:cs="宋体"/>
                <w:b/>
                <w:color w:val="auto"/>
                <w:sz w:val="24"/>
                <w:szCs w:val="24"/>
                <w:lang w:val="zh-CN" w:bidi="zh-CN"/>
              </w:rPr>
              <w:t>撤并情况（300</w:t>
            </w:r>
          </w:p>
          <w:p>
            <w:pPr>
              <w:widowControl w:val="0"/>
              <w:autoSpaceDE w:val="0"/>
              <w:autoSpaceDN w:val="0"/>
              <w:jc w:val="center"/>
              <w:rPr>
                <w:rFonts w:ascii="仿宋" w:hAnsi="仿宋" w:eastAsia="仿宋" w:cs="宋体"/>
                <w:b/>
                <w:color w:val="auto"/>
                <w:sz w:val="24"/>
                <w:szCs w:val="24"/>
                <w:lang w:val="zh-CN" w:bidi="zh-CN"/>
              </w:rPr>
            </w:pPr>
            <w:r>
              <w:rPr>
                <w:rFonts w:ascii="仿宋" w:hAnsi="仿宋" w:eastAsia="仿宋" w:cs="宋体"/>
                <w:b/>
                <w:color w:val="auto"/>
                <w:sz w:val="24"/>
                <w:szCs w:val="24"/>
                <w:lang w:val="zh-CN" w:bidi="zh-CN"/>
              </w:rPr>
              <w:t>字以内）</w:t>
            </w:r>
          </w:p>
        </w:tc>
        <w:tc>
          <w:tcPr>
            <w:tcW w:w="7584" w:type="dxa"/>
            <w:gridSpan w:val="5"/>
            <w:vAlign w:val="center"/>
          </w:tcPr>
          <w:p>
            <w:pPr>
              <w:widowControl w:val="0"/>
              <w:autoSpaceDE w:val="0"/>
              <w:autoSpaceDN w:val="0"/>
              <w:ind w:firstLine="480" w:firstLineChars="200"/>
              <w:rPr>
                <w:rFonts w:ascii="仿宋" w:hAnsi="仿宋" w:eastAsia="仿宋" w:cs="宋体"/>
                <w:color w:val="auto"/>
                <w:sz w:val="24"/>
                <w:szCs w:val="24"/>
                <w:lang w:bidi="zh-CN"/>
              </w:rPr>
            </w:pPr>
            <w:r>
              <w:rPr>
                <w:rFonts w:hint="eastAsia" w:ascii="仿宋" w:hAnsi="仿宋" w:eastAsia="仿宋" w:cs="宋体"/>
                <w:color w:val="auto"/>
                <w:sz w:val="24"/>
                <w:szCs w:val="24"/>
                <w:lang w:bidi="zh-CN"/>
              </w:rPr>
              <w:t>学校主动适应地区和行业发展需要，不断优化调整专业结构。自2011年起推行“大类招生”政策，通过专业分流建立优胜劣汰的专业结构调整机制，并结合实施情况不断完善招生大类（专业）设置。</w:t>
            </w:r>
          </w:p>
          <w:p>
            <w:pPr>
              <w:widowControl w:val="0"/>
              <w:autoSpaceDE w:val="0"/>
              <w:autoSpaceDN w:val="0"/>
              <w:ind w:firstLine="480" w:firstLineChars="200"/>
              <w:rPr>
                <w:rFonts w:ascii="仿宋" w:hAnsi="仿宋" w:eastAsia="仿宋" w:cs="宋体"/>
                <w:color w:val="auto"/>
                <w:sz w:val="24"/>
                <w:szCs w:val="24"/>
                <w:lang w:bidi="zh-CN"/>
              </w:rPr>
            </w:pPr>
            <w:r>
              <w:rPr>
                <w:rFonts w:ascii="仿宋" w:hAnsi="仿宋" w:eastAsia="仿宋" w:cs="宋体"/>
                <w:color w:val="auto"/>
                <w:sz w:val="24"/>
                <w:szCs w:val="24"/>
                <w:lang w:bidi="zh-CN"/>
              </w:rPr>
              <w:t>对于招生和分流情况不好的专业予以减招、停招，在专业间形成了良性竞争的局面，较好地促进了专业结构优化调整。</w:t>
            </w:r>
          </w:p>
          <w:p>
            <w:pPr>
              <w:widowControl w:val="0"/>
              <w:autoSpaceDE w:val="0"/>
              <w:autoSpaceDN w:val="0"/>
              <w:ind w:firstLine="480" w:firstLineChars="200"/>
              <w:rPr>
                <w:rFonts w:ascii="仿宋" w:hAnsi="仿宋" w:eastAsia="仿宋" w:cs="宋体"/>
                <w:color w:val="auto"/>
                <w:sz w:val="24"/>
                <w:szCs w:val="24"/>
                <w:lang w:bidi="zh-CN"/>
              </w:rPr>
            </w:pPr>
            <w:r>
              <w:rPr>
                <w:rFonts w:hint="eastAsia" w:ascii="仿宋" w:hAnsi="仿宋" w:eastAsia="仿宋" w:cs="宋体"/>
                <w:color w:val="auto"/>
                <w:sz w:val="24"/>
                <w:szCs w:val="24"/>
                <w:lang w:bidi="zh-CN"/>
              </w:rPr>
              <w:t>2015-2019年增设专业12个：工程力学、信息工程、数字媒体技术；机械工程、城市地下空间工程；网络空间安全、环境科学；机器人工程、新能源材料与器件、数据科学与大数据技术、资源循环科学与工程。</w:t>
            </w:r>
          </w:p>
          <w:p>
            <w:pPr>
              <w:widowControl w:val="0"/>
              <w:autoSpaceDE w:val="0"/>
              <w:autoSpaceDN w:val="0"/>
              <w:ind w:firstLine="480" w:firstLineChars="200"/>
              <w:rPr>
                <w:rFonts w:ascii="仿宋" w:hAnsi="仿宋" w:eastAsia="仿宋" w:cs="宋体"/>
                <w:color w:val="auto"/>
                <w:sz w:val="24"/>
                <w:szCs w:val="24"/>
                <w:lang w:bidi="zh-CN"/>
              </w:rPr>
            </w:pPr>
            <w:r>
              <w:rPr>
                <w:rFonts w:hint="eastAsia" w:ascii="仿宋" w:hAnsi="仿宋" w:eastAsia="仿宋" w:cs="宋体"/>
                <w:color w:val="auto"/>
                <w:sz w:val="24"/>
                <w:szCs w:val="24"/>
                <w:lang w:bidi="zh-CN"/>
              </w:rPr>
              <w:t>2016年以来备案停招专业：理论与应用力学、资源勘查工程、网络工程。</w:t>
            </w:r>
          </w:p>
        </w:tc>
      </w:tr>
    </w:tbl>
    <w:p>
      <w:pPr>
        <w:spacing w:after="0"/>
        <w:ind w:left="77"/>
        <w:rPr>
          <w:rFonts w:ascii="微软雅黑" w:hAnsi="微软雅黑" w:eastAsia="微软雅黑" w:cs="微软雅黑"/>
        </w:rPr>
      </w:pPr>
    </w:p>
    <w:p>
      <w:pPr>
        <w:spacing w:after="0"/>
        <w:ind w:left="77"/>
        <w:rPr>
          <w:rFonts w:ascii="微软雅黑" w:hAnsi="微软雅黑" w:eastAsia="微软雅黑" w:cs="微软雅黑"/>
        </w:rPr>
      </w:pPr>
    </w:p>
    <w:p>
      <w:pPr>
        <w:spacing w:after="0"/>
        <w:ind w:left="77"/>
        <w:rPr>
          <w:rFonts w:ascii="微软雅黑" w:hAnsi="微软雅黑" w:eastAsia="微软雅黑"/>
        </w:rPr>
      </w:pPr>
    </w:p>
    <w:p>
      <w:pPr>
        <w:rPr>
          <w:rFonts w:ascii="微软雅黑" w:hAnsi="微软雅黑" w:eastAsia="微软雅黑"/>
        </w:rPr>
      </w:pPr>
    </w:p>
    <w:p>
      <w:r>
        <w:br w:type="page"/>
      </w:r>
    </w:p>
    <w:p>
      <w:pPr>
        <w:pStyle w:val="3"/>
        <w:ind w:right="3060"/>
      </w:pPr>
      <w:r>
        <w:t xml:space="preserve">2.申报专业基本情况 </w:t>
      </w:r>
    </w:p>
    <w:tbl>
      <w:tblPr>
        <w:tblStyle w:val="14"/>
        <w:tblW w:w="9573" w:type="dxa"/>
        <w:tblInd w:w="-31" w:type="dxa"/>
        <w:tblLayout w:type="fixed"/>
        <w:tblCellMar>
          <w:top w:w="48" w:type="dxa"/>
          <w:left w:w="108" w:type="dxa"/>
          <w:bottom w:w="0" w:type="dxa"/>
          <w:right w:w="51" w:type="dxa"/>
        </w:tblCellMar>
      </w:tblPr>
      <w:tblGrid>
        <w:gridCol w:w="2393"/>
        <w:gridCol w:w="2391"/>
        <w:gridCol w:w="1987"/>
        <w:gridCol w:w="406"/>
        <w:gridCol w:w="2396"/>
      </w:tblGrid>
      <w:tr>
        <w:tblPrEx>
          <w:tblLayout w:type="fixed"/>
          <w:tblCellMar>
            <w:top w:w="48" w:type="dxa"/>
            <w:left w:w="108" w:type="dxa"/>
            <w:bottom w:w="0" w:type="dxa"/>
            <w:right w:w="51" w:type="dxa"/>
          </w:tblCellMar>
        </w:tblPrEx>
        <w:trPr>
          <w:trHeight w:val="329" w:hRule="atLeast"/>
        </w:trPr>
        <w:tc>
          <w:tcPr>
            <w:tcW w:w="2393"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rPr>
            </w:pPr>
            <w:r>
              <w:rPr>
                <w:rFonts w:ascii="微软雅黑" w:hAnsi="微软雅黑" w:eastAsia="微软雅黑" w:cs="微软雅黑"/>
                <w:sz w:val="24"/>
              </w:rPr>
              <w:t>专业代码</w:t>
            </w:r>
            <w:r>
              <w:rPr>
                <w:rFonts w:ascii="微软雅黑" w:hAnsi="微软雅黑" w:eastAsia="微软雅黑" w:cs="Times New Roman"/>
                <w:sz w:val="24"/>
              </w:rPr>
              <w:t xml:space="preserve"> </w:t>
            </w:r>
          </w:p>
        </w:tc>
        <w:tc>
          <w:tcPr>
            <w:tcW w:w="2391"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ascii="微软雅黑" w:hAnsi="微软雅黑" w:eastAsia="微软雅黑" w:cs="微软雅黑"/>
                <w:sz w:val="24"/>
              </w:rPr>
              <w:t xml:space="preserve">080717T </w:t>
            </w:r>
          </w:p>
        </w:tc>
        <w:tc>
          <w:tcPr>
            <w:tcW w:w="1987" w:type="dxa"/>
            <w:tcBorders>
              <w:top w:val="single" w:color="000000" w:sz="4" w:space="0"/>
              <w:left w:val="single" w:color="000000" w:sz="4" w:space="0"/>
              <w:bottom w:val="single" w:color="000000" w:sz="4" w:space="0"/>
              <w:right w:val="nil"/>
            </w:tcBorders>
          </w:tcPr>
          <w:p>
            <w:pPr>
              <w:spacing w:after="0" w:line="240" w:lineRule="auto"/>
              <w:ind w:left="607" w:right="60"/>
              <w:rPr>
                <w:rFonts w:ascii="微软雅黑" w:hAnsi="微软雅黑" w:eastAsia="微软雅黑" w:cs="微软雅黑"/>
                <w:sz w:val="24"/>
              </w:rPr>
            </w:pPr>
            <w:r>
              <w:rPr>
                <w:rFonts w:ascii="微软雅黑" w:hAnsi="微软雅黑" w:eastAsia="微软雅黑" w:cs="微软雅黑"/>
                <w:sz w:val="24"/>
              </w:rPr>
              <w:t xml:space="preserve">专业名称 </w:t>
            </w:r>
          </w:p>
        </w:tc>
        <w:tc>
          <w:tcPr>
            <w:tcW w:w="406" w:type="dxa"/>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c>
          <w:tcPr>
            <w:tcW w:w="2396"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hint="eastAsia" w:ascii="微软雅黑" w:hAnsi="微软雅黑" w:eastAsia="微软雅黑" w:cs="微软雅黑"/>
                <w:sz w:val="24"/>
              </w:rPr>
              <w:t>人工智能</w:t>
            </w:r>
          </w:p>
        </w:tc>
      </w:tr>
      <w:tr>
        <w:tblPrEx>
          <w:tblLayout w:type="fixed"/>
          <w:tblCellMar>
            <w:top w:w="48" w:type="dxa"/>
            <w:left w:w="108" w:type="dxa"/>
            <w:bottom w:w="0" w:type="dxa"/>
            <w:right w:w="51" w:type="dxa"/>
          </w:tblCellMar>
        </w:tblPrEx>
        <w:trPr>
          <w:trHeight w:val="331" w:hRule="atLeast"/>
        </w:trPr>
        <w:tc>
          <w:tcPr>
            <w:tcW w:w="2393"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rPr>
            </w:pPr>
            <w:r>
              <w:rPr>
                <w:rFonts w:ascii="微软雅黑" w:hAnsi="微软雅黑" w:eastAsia="微软雅黑" w:cs="微软雅黑"/>
                <w:sz w:val="24"/>
              </w:rPr>
              <w:t>学位</w:t>
            </w:r>
            <w:r>
              <w:rPr>
                <w:rFonts w:ascii="微软雅黑" w:hAnsi="微软雅黑" w:eastAsia="微软雅黑" w:cs="Times New Roman"/>
                <w:sz w:val="24"/>
              </w:rPr>
              <w:t xml:space="preserve"> </w:t>
            </w:r>
          </w:p>
        </w:tc>
        <w:tc>
          <w:tcPr>
            <w:tcW w:w="2391"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ascii="微软雅黑" w:hAnsi="微软雅黑" w:eastAsia="微软雅黑" w:cs="微软雅黑"/>
                <w:sz w:val="24"/>
              </w:rPr>
              <w:t xml:space="preserve"> </w:t>
            </w:r>
            <w:r>
              <w:rPr>
                <w:rFonts w:hint="eastAsia" w:ascii="微软雅黑" w:hAnsi="微软雅黑" w:eastAsia="微软雅黑" w:cs="微软雅黑"/>
                <w:sz w:val="24"/>
              </w:rPr>
              <w:t>工学学士</w:t>
            </w:r>
          </w:p>
        </w:tc>
        <w:tc>
          <w:tcPr>
            <w:tcW w:w="1987" w:type="dxa"/>
            <w:tcBorders>
              <w:top w:val="single" w:color="000000" w:sz="4" w:space="0"/>
              <w:left w:val="single" w:color="000000" w:sz="4" w:space="0"/>
              <w:bottom w:val="single" w:color="000000" w:sz="4" w:space="0"/>
              <w:right w:val="nil"/>
            </w:tcBorders>
          </w:tcPr>
          <w:p>
            <w:pPr>
              <w:spacing w:after="0" w:line="240" w:lineRule="auto"/>
              <w:ind w:left="607"/>
              <w:rPr>
                <w:rFonts w:ascii="微软雅黑" w:hAnsi="微软雅黑" w:eastAsia="微软雅黑" w:cs="微软雅黑"/>
                <w:sz w:val="24"/>
              </w:rPr>
            </w:pPr>
            <w:r>
              <w:rPr>
                <w:rFonts w:ascii="微软雅黑" w:hAnsi="微软雅黑" w:eastAsia="微软雅黑" w:cs="微软雅黑"/>
                <w:sz w:val="24"/>
              </w:rPr>
              <w:t xml:space="preserve">修业年限 </w:t>
            </w:r>
          </w:p>
        </w:tc>
        <w:tc>
          <w:tcPr>
            <w:tcW w:w="406" w:type="dxa"/>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c>
          <w:tcPr>
            <w:tcW w:w="2396"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hint="eastAsia" w:ascii="微软雅黑" w:hAnsi="微软雅黑" w:eastAsia="微软雅黑" w:cs="微软雅黑"/>
                <w:sz w:val="24"/>
              </w:rPr>
              <w:t>四年</w:t>
            </w:r>
          </w:p>
        </w:tc>
      </w:tr>
      <w:tr>
        <w:tblPrEx>
          <w:tblLayout w:type="fixed"/>
          <w:tblCellMar>
            <w:top w:w="48" w:type="dxa"/>
            <w:left w:w="108" w:type="dxa"/>
            <w:bottom w:w="0" w:type="dxa"/>
            <w:right w:w="51" w:type="dxa"/>
          </w:tblCellMar>
        </w:tblPrEx>
        <w:trPr>
          <w:trHeight w:val="329" w:hRule="atLeast"/>
        </w:trPr>
        <w:tc>
          <w:tcPr>
            <w:tcW w:w="2393"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rPr>
            </w:pPr>
            <w:r>
              <w:rPr>
                <w:rFonts w:ascii="微软雅黑" w:hAnsi="微软雅黑" w:eastAsia="微软雅黑" w:cs="微软雅黑"/>
                <w:sz w:val="24"/>
              </w:rPr>
              <w:t>专业类</w:t>
            </w:r>
            <w:r>
              <w:rPr>
                <w:rFonts w:ascii="微软雅黑" w:hAnsi="微软雅黑" w:eastAsia="微软雅黑" w:cs="Times New Roman"/>
                <w:sz w:val="24"/>
              </w:rPr>
              <w:t xml:space="preserve"> </w:t>
            </w:r>
          </w:p>
        </w:tc>
        <w:tc>
          <w:tcPr>
            <w:tcW w:w="2391"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ascii="微软雅黑" w:hAnsi="微软雅黑" w:eastAsia="微软雅黑" w:cs="微软雅黑"/>
                <w:sz w:val="24"/>
              </w:rPr>
              <w:t xml:space="preserve"> </w:t>
            </w:r>
            <w:r>
              <w:rPr>
                <w:rFonts w:hint="eastAsia" w:ascii="微软雅黑" w:hAnsi="微软雅黑" w:eastAsia="微软雅黑" w:cs="微软雅黑"/>
                <w:sz w:val="24"/>
              </w:rPr>
              <w:t>电子信息类</w:t>
            </w:r>
          </w:p>
        </w:tc>
        <w:tc>
          <w:tcPr>
            <w:tcW w:w="1987" w:type="dxa"/>
            <w:tcBorders>
              <w:top w:val="single" w:color="000000" w:sz="4" w:space="0"/>
              <w:left w:val="single" w:color="000000" w:sz="4" w:space="0"/>
              <w:bottom w:val="single" w:color="000000" w:sz="4" w:space="0"/>
              <w:right w:val="nil"/>
            </w:tcBorders>
          </w:tcPr>
          <w:p>
            <w:pPr>
              <w:spacing w:after="0" w:line="240" w:lineRule="auto"/>
              <w:ind w:right="141"/>
              <w:jc w:val="right"/>
              <w:rPr>
                <w:rFonts w:ascii="微软雅黑" w:hAnsi="微软雅黑" w:eastAsia="微软雅黑" w:cs="微软雅黑"/>
                <w:sz w:val="24"/>
              </w:rPr>
            </w:pPr>
            <w:r>
              <w:rPr>
                <w:rFonts w:ascii="微软雅黑" w:hAnsi="微软雅黑" w:eastAsia="微软雅黑" w:cs="微软雅黑"/>
                <w:sz w:val="24"/>
              </w:rPr>
              <w:t xml:space="preserve">专业类代码 </w:t>
            </w:r>
          </w:p>
        </w:tc>
        <w:tc>
          <w:tcPr>
            <w:tcW w:w="406" w:type="dxa"/>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c>
          <w:tcPr>
            <w:tcW w:w="2396"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hint="eastAsia" w:ascii="微软雅黑" w:hAnsi="微软雅黑" w:eastAsia="微软雅黑" w:cs="微软雅黑"/>
                <w:sz w:val="24"/>
              </w:rPr>
              <w:t>0807</w:t>
            </w:r>
            <w:r>
              <w:rPr>
                <w:rFonts w:ascii="微软雅黑" w:hAnsi="微软雅黑" w:eastAsia="微软雅黑" w:cs="微软雅黑"/>
                <w:sz w:val="24"/>
              </w:rPr>
              <w:t xml:space="preserve"> </w:t>
            </w:r>
          </w:p>
        </w:tc>
      </w:tr>
      <w:tr>
        <w:tblPrEx>
          <w:tblLayout w:type="fixed"/>
          <w:tblCellMar>
            <w:top w:w="48" w:type="dxa"/>
            <w:left w:w="108" w:type="dxa"/>
            <w:bottom w:w="0" w:type="dxa"/>
            <w:right w:w="51" w:type="dxa"/>
          </w:tblCellMar>
        </w:tblPrEx>
        <w:trPr>
          <w:trHeight w:val="331" w:hRule="atLeast"/>
        </w:trPr>
        <w:tc>
          <w:tcPr>
            <w:tcW w:w="2393"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rPr>
            </w:pPr>
            <w:r>
              <w:rPr>
                <w:rFonts w:ascii="微软雅黑" w:hAnsi="微软雅黑" w:eastAsia="微软雅黑" w:cs="微软雅黑"/>
                <w:sz w:val="24"/>
              </w:rPr>
              <w:t>门类</w:t>
            </w:r>
            <w:r>
              <w:rPr>
                <w:rFonts w:ascii="微软雅黑" w:hAnsi="微软雅黑" w:eastAsia="微软雅黑" w:cs="Times New Roman"/>
                <w:sz w:val="24"/>
              </w:rPr>
              <w:t xml:space="preserve"> </w:t>
            </w:r>
          </w:p>
        </w:tc>
        <w:tc>
          <w:tcPr>
            <w:tcW w:w="2391"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ascii="微软雅黑" w:hAnsi="微软雅黑" w:eastAsia="微软雅黑" w:cs="微软雅黑"/>
                <w:sz w:val="24"/>
              </w:rPr>
              <w:t xml:space="preserve"> </w:t>
            </w:r>
            <w:r>
              <w:rPr>
                <w:rFonts w:hint="eastAsia" w:ascii="微软雅黑" w:hAnsi="微软雅黑" w:eastAsia="微软雅黑" w:cs="微软雅黑"/>
                <w:sz w:val="24"/>
              </w:rPr>
              <w:t>工学</w:t>
            </w:r>
          </w:p>
        </w:tc>
        <w:tc>
          <w:tcPr>
            <w:tcW w:w="1987" w:type="dxa"/>
            <w:tcBorders>
              <w:top w:val="single" w:color="000000" w:sz="4" w:space="0"/>
              <w:left w:val="single" w:color="000000" w:sz="4" w:space="0"/>
              <w:bottom w:val="single" w:color="000000" w:sz="4" w:space="0"/>
              <w:right w:val="nil"/>
            </w:tcBorders>
          </w:tcPr>
          <w:p>
            <w:pPr>
              <w:spacing w:after="0" w:line="240" w:lineRule="auto"/>
              <w:ind w:left="607"/>
              <w:rPr>
                <w:rFonts w:ascii="微软雅黑" w:hAnsi="微软雅黑" w:eastAsia="微软雅黑" w:cs="微软雅黑"/>
                <w:sz w:val="24"/>
              </w:rPr>
            </w:pPr>
            <w:r>
              <w:rPr>
                <w:rFonts w:ascii="微软雅黑" w:hAnsi="微软雅黑" w:eastAsia="微软雅黑" w:cs="微软雅黑"/>
                <w:sz w:val="24"/>
              </w:rPr>
              <w:t xml:space="preserve">门类代码 </w:t>
            </w:r>
          </w:p>
        </w:tc>
        <w:tc>
          <w:tcPr>
            <w:tcW w:w="406" w:type="dxa"/>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c>
          <w:tcPr>
            <w:tcW w:w="2396"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cs="微软雅黑"/>
                <w:sz w:val="24"/>
              </w:rPr>
            </w:pPr>
            <w:r>
              <w:rPr>
                <w:rFonts w:hint="eastAsia" w:ascii="微软雅黑" w:hAnsi="微软雅黑" w:eastAsia="微软雅黑" w:cs="微软雅黑"/>
                <w:sz w:val="24"/>
              </w:rPr>
              <w:t>08</w:t>
            </w:r>
            <w:r>
              <w:rPr>
                <w:rFonts w:ascii="微软雅黑" w:hAnsi="微软雅黑" w:eastAsia="微软雅黑" w:cs="微软雅黑"/>
                <w:sz w:val="24"/>
              </w:rPr>
              <w:t xml:space="preserve"> </w:t>
            </w:r>
          </w:p>
        </w:tc>
      </w:tr>
      <w:tr>
        <w:tblPrEx>
          <w:tblLayout w:type="fixed"/>
          <w:tblCellMar>
            <w:top w:w="48" w:type="dxa"/>
            <w:left w:w="108" w:type="dxa"/>
            <w:bottom w:w="0" w:type="dxa"/>
            <w:right w:w="51" w:type="dxa"/>
          </w:tblCellMar>
        </w:tblPrEx>
        <w:trPr>
          <w:trHeight w:val="329" w:hRule="atLeast"/>
        </w:trPr>
        <w:tc>
          <w:tcPr>
            <w:tcW w:w="2393" w:type="dxa"/>
            <w:tcBorders>
              <w:top w:val="single" w:color="000000" w:sz="4" w:space="0"/>
              <w:left w:val="single" w:color="000000" w:sz="4" w:space="0"/>
              <w:bottom w:val="single" w:color="000000" w:sz="4" w:space="0"/>
              <w:right w:val="single" w:color="000000" w:sz="4" w:space="0"/>
            </w:tcBorders>
          </w:tcPr>
          <w:p>
            <w:pPr>
              <w:spacing w:after="0" w:line="240" w:lineRule="auto"/>
              <w:ind w:right="60"/>
              <w:jc w:val="center"/>
              <w:rPr>
                <w:rFonts w:ascii="微软雅黑" w:hAnsi="微软雅黑" w:eastAsia="微软雅黑"/>
              </w:rPr>
            </w:pPr>
            <w:r>
              <w:rPr>
                <w:rFonts w:ascii="微软雅黑" w:hAnsi="微软雅黑" w:eastAsia="微软雅黑" w:cs="微软雅黑"/>
                <w:sz w:val="24"/>
              </w:rPr>
              <w:t>所在院系名称</w:t>
            </w:r>
            <w:r>
              <w:rPr>
                <w:rFonts w:ascii="微软雅黑" w:hAnsi="微软雅黑" w:eastAsia="微软雅黑" w:cs="Times New Roman"/>
                <w:sz w:val="24"/>
              </w:rPr>
              <w:t xml:space="preserve"> </w:t>
            </w:r>
          </w:p>
        </w:tc>
        <w:tc>
          <w:tcPr>
            <w:tcW w:w="4378" w:type="dxa"/>
            <w:gridSpan w:val="2"/>
            <w:tcBorders>
              <w:top w:val="single" w:color="000000" w:sz="4" w:space="0"/>
              <w:left w:val="single" w:color="000000" w:sz="4" w:space="0"/>
              <w:bottom w:val="single" w:color="000000" w:sz="4" w:space="0"/>
              <w:right w:val="nil"/>
            </w:tcBorders>
          </w:tcPr>
          <w:p>
            <w:pPr>
              <w:spacing w:after="0" w:line="240" w:lineRule="auto"/>
              <w:ind w:right="60"/>
              <w:jc w:val="center"/>
              <w:rPr>
                <w:rFonts w:ascii="微软雅黑" w:hAnsi="微软雅黑" w:eastAsia="微软雅黑" w:cs="微软雅黑"/>
                <w:sz w:val="24"/>
              </w:rPr>
            </w:pPr>
            <w:r>
              <w:rPr>
                <w:rFonts w:hint="eastAsia" w:ascii="微软雅黑" w:hAnsi="微软雅黑" w:eastAsia="微软雅黑" w:cs="微软雅黑"/>
                <w:sz w:val="24"/>
              </w:rPr>
              <w:t>人工智能学院</w:t>
            </w:r>
          </w:p>
        </w:tc>
        <w:tc>
          <w:tcPr>
            <w:tcW w:w="2802" w:type="dxa"/>
            <w:gridSpan w:val="2"/>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r>
      <w:tr>
        <w:tblPrEx>
          <w:tblLayout w:type="fixed"/>
          <w:tblCellMar>
            <w:top w:w="48" w:type="dxa"/>
            <w:left w:w="108" w:type="dxa"/>
            <w:bottom w:w="0" w:type="dxa"/>
            <w:right w:w="51" w:type="dxa"/>
          </w:tblCellMar>
        </w:tblPrEx>
        <w:trPr>
          <w:trHeight w:val="331" w:hRule="atLeast"/>
        </w:trPr>
        <w:tc>
          <w:tcPr>
            <w:tcW w:w="2393" w:type="dxa"/>
            <w:tcBorders>
              <w:top w:val="single" w:color="000000" w:sz="4" w:space="0"/>
              <w:left w:val="single" w:color="000000" w:sz="4" w:space="0"/>
              <w:bottom w:val="single" w:color="000000" w:sz="4" w:space="0"/>
              <w:right w:val="nil"/>
            </w:tcBorders>
          </w:tcPr>
          <w:p>
            <w:pPr>
              <w:spacing w:after="0" w:line="240" w:lineRule="auto"/>
              <w:rPr>
                <w:rFonts w:ascii="微软雅黑" w:hAnsi="微软雅黑" w:eastAsia="微软雅黑"/>
              </w:rPr>
            </w:pPr>
          </w:p>
        </w:tc>
        <w:tc>
          <w:tcPr>
            <w:tcW w:w="4378" w:type="dxa"/>
            <w:gridSpan w:val="2"/>
            <w:tcBorders>
              <w:top w:val="single" w:color="000000" w:sz="4" w:space="0"/>
              <w:left w:val="nil"/>
              <w:bottom w:val="single" w:color="000000" w:sz="4" w:space="0"/>
              <w:right w:val="nil"/>
            </w:tcBorders>
          </w:tcPr>
          <w:p>
            <w:pPr>
              <w:spacing w:after="0" w:line="240" w:lineRule="auto"/>
              <w:ind w:right="60"/>
              <w:jc w:val="center"/>
              <w:rPr>
                <w:rFonts w:ascii="微软雅黑" w:hAnsi="微软雅黑" w:eastAsia="微软雅黑" w:cs="微软雅黑"/>
                <w:sz w:val="24"/>
              </w:rPr>
            </w:pPr>
            <w:r>
              <w:rPr>
                <w:rFonts w:ascii="微软雅黑" w:hAnsi="微软雅黑" w:eastAsia="微软雅黑" w:cs="微软雅黑"/>
                <w:sz w:val="24"/>
              </w:rPr>
              <w:t xml:space="preserve">学校相近专业情况 </w:t>
            </w:r>
          </w:p>
        </w:tc>
        <w:tc>
          <w:tcPr>
            <w:tcW w:w="2802" w:type="dxa"/>
            <w:gridSpan w:val="2"/>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r>
      <w:tr>
        <w:tblPrEx>
          <w:tblLayout w:type="fixed"/>
          <w:tblCellMar>
            <w:top w:w="48" w:type="dxa"/>
            <w:left w:w="108" w:type="dxa"/>
            <w:bottom w:w="0" w:type="dxa"/>
            <w:right w:w="51" w:type="dxa"/>
          </w:tblCellMar>
        </w:tblPrEx>
        <w:trPr>
          <w:trHeight w:val="648" w:hRule="atLeast"/>
        </w:trPr>
        <w:tc>
          <w:tcPr>
            <w:tcW w:w="2393"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right="58"/>
              <w:jc w:val="center"/>
              <w:rPr>
                <w:rFonts w:ascii="微软雅黑" w:hAnsi="微软雅黑" w:eastAsia="微软雅黑"/>
              </w:rPr>
            </w:pPr>
            <w:r>
              <w:rPr>
                <w:rFonts w:ascii="微软雅黑" w:hAnsi="微软雅黑" w:eastAsia="微软雅黑" w:cs="微软雅黑"/>
                <w:sz w:val="24"/>
              </w:rPr>
              <w:t xml:space="preserve">相近专业 </w:t>
            </w:r>
            <w:r>
              <w:rPr>
                <w:rFonts w:ascii="微软雅黑" w:hAnsi="微软雅黑" w:eastAsia="微软雅黑" w:cs="Times New Roman"/>
                <w:sz w:val="24"/>
              </w:rPr>
              <w:t xml:space="preserve">1 </w:t>
            </w:r>
          </w:p>
        </w:tc>
        <w:tc>
          <w:tcPr>
            <w:tcW w:w="23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125"/>
              <w:rPr>
                <w:rFonts w:ascii="微软雅黑" w:hAnsi="微软雅黑" w:eastAsia="微软雅黑"/>
              </w:rPr>
            </w:pPr>
            <w:r>
              <w:rPr>
                <w:rFonts w:hint="eastAsia" w:ascii="微软雅黑" w:hAnsi="微软雅黑" w:eastAsia="微软雅黑" w:cs="微软雅黑"/>
                <w:sz w:val="24"/>
              </w:rPr>
              <w:t>计算机科学与技术</w:t>
            </w:r>
          </w:p>
        </w:tc>
        <w:tc>
          <w:tcPr>
            <w:tcW w:w="1987"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166"/>
              <w:jc w:val="center"/>
              <w:rPr>
                <w:rFonts w:ascii="微软雅黑" w:hAnsi="微软雅黑" w:eastAsia="微软雅黑"/>
              </w:rPr>
            </w:pPr>
            <w:r>
              <w:rPr>
                <w:rFonts w:hint="eastAsia" w:ascii="微软雅黑" w:hAnsi="微软雅黑" w:eastAsia="微软雅黑" w:cs="Times New Roman"/>
                <w:sz w:val="24"/>
              </w:rPr>
              <w:t>1997年</w:t>
            </w:r>
          </w:p>
        </w:tc>
        <w:tc>
          <w:tcPr>
            <w:tcW w:w="2802" w:type="dxa"/>
            <w:gridSpan w:val="2"/>
            <w:tcBorders>
              <w:top w:val="single" w:color="000000" w:sz="4" w:space="0"/>
              <w:left w:val="single" w:color="000000" w:sz="4" w:space="0"/>
              <w:bottom w:val="single" w:color="000000" w:sz="4" w:space="0"/>
              <w:right w:val="single" w:color="000000" w:sz="4" w:space="0"/>
            </w:tcBorders>
          </w:tcPr>
          <w:p>
            <w:pPr>
              <w:spacing w:after="28" w:line="240" w:lineRule="auto"/>
              <w:ind w:left="211"/>
              <w:rPr>
                <w:rFonts w:ascii="微软雅黑" w:hAnsi="微软雅黑" w:eastAsia="微软雅黑"/>
              </w:rPr>
            </w:pPr>
            <w:r>
              <w:rPr>
                <w:rFonts w:ascii="微软雅黑" w:hAnsi="微软雅黑" w:eastAsia="微软雅黑" w:cs="微软雅黑"/>
                <w:sz w:val="24"/>
              </w:rPr>
              <w:t>该专业教师队伍情况</w:t>
            </w:r>
            <w:r>
              <w:rPr>
                <w:rFonts w:ascii="微软雅黑" w:hAnsi="微软雅黑" w:eastAsia="微软雅黑" w:cs="Times New Roman"/>
                <w:sz w:val="24"/>
              </w:rPr>
              <w:t xml:space="preserve"> </w:t>
            </w:r>
          </w:p>
          <w:p>
            <w:pPr>
              <w:spacing w:after="0" w:line="240" w:lineRule="auto"/>
              <w:jc w:val="both"/>
              <w:rPr>
                <w:rFonts w:ascii="微软雅黑" w:hAnsi="微软雅黑" w:eastAsia="微软雅黑"/>
              </w:rPr>
            </w:pPr>
            <w:r>
              <w:rPr>
                <w:rFonts w:ascii="微软雅黑" w:hAnsi="微软雅黑" w:eastAsia="微软雅黑" w:cs="微软雅黑"/>
                <w:sz w:val="24"/>
              </w:rPr>
              <w:t>（上传教师基本情况表）</w:t>
            </w:r>
            <w:r>
              <w:rPr>
                <w:rFonts w:ascii="微软雅黑" w:hAnsi="微软雅黑" w:eastAsia="微软雅黑" w:cs="Times New Roman"/>
                <w:sz w:val="24"/>
              </w:rPr>
              <w:t xml:space="preserve"> </w:t>
            </w:r>
          </w:p>
        </w:tc>
      </w:tr>
      <w:tr>
        <w:tblPrEx>
          <w:tblLayout w:type="fixed"/>
          <w:tblCellMar>
            <w:top w:w="48" w:type="dxa"/>
            <w:left w:w="108" w:type="dxa"/>
            <w:bottom w:w="0" w:type="dxa"/>
            <w:right w:w="51" w:type="dxa"/>
          </w:tblCellMar>
        </w:tblPrEx>
        <w:trPr>
          <w:trHeight w:val="651" w:hRule="atLeast"/>
        </w:trPr>
        <w:tc>
          <w:tcPr>
            <w:tcW w:w="2393"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right="58"/>
              <w:jc w:val="center"/>
              <w:rPr>
                <w:rFonts w:ascii="微软雅黑" w:hAnsi="微软雅黑" w:eastAsia="微软雅黑"/>
              </w:rPr>
            </w:pPr>
            <w:r>
              <w:rPr>
                <w:rFonts w:ascii="微软雅黑" w:hAnsi="微软雅黑" w:eastAsia="微软雅黑" w:cs="微软雅黑"/>
                <w:sz w:val="24"/>
              </w:rPr>
              <w:t xml:space="preserve">相近专业 </w:t>
            </w:r>
            <w:r>
              <w:rPr>
                <w:rFonts w:ascii="微软雅黑" w:hAnsi="微软雅黑" w:eastAsia="微软雅黑" w:cs="Times New Roman"/>
                <w:sz w:val="24"/>
              </w:rPr>
              <w:t xml:space="preserve">2 </w:t>
            </w:r>
          </w:p>
        </w:tc>
        <w:tc>
          <w:tcPr>
            <w:tcW w:w="23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125"/>
              <w:rPr>
                <w:rFonts w:ascii="微软雅黑" w:hAnsi="微软雅黑" w:eastAsia="微软雅黑"/>
              </w:rPr>
            </w:pPr>
            <w:r>
              <w:rPr>
                <w:rFonts w:hint="eastAsia" w:ascii="微软雅黑" w:hAnsi="微软雅黑" w:eastAsia="微软雅黑" w:cs="微软雅黑"/>
                <w:sz w:val="24"/>
              </w:rPr>
              <w:t>智能科学与技术</w:t>
            </w:r>
          </w:p>
        </w:tc>
        <w:tc>
          <w:tcPr>
            <w:tcW w:w="1987"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rPr>
            </w:pPr>
            <w:r>
              <w:rPr>
                <w:rFonts w:hint="eastAsia" w:ascii="微软雅黑" w:hAnsi="微软雅黑" w:eastAsia="微软雅黑" w:cs="微软雅黑"/>
                <w:sz w:val="24"/>
              </w:rPr>
              <w:t>2006年</w:t>
            </w:r>
          </w:p>
        </w:tc>
        <w:tc>
          <w:tcPr>
            <w:tcW w:w="2802" w:type="dxa"/>
            <w:gridSpan w:val="2"/>
            <w:tcBorders>
              <w:top w:val="single" w:color="000000" w:sz="4" w:space="0"/>
              <w:left w:val="single" w:color="000000" w:sz="4" w:space="0"/>
              <w:bottom w:val="single" w:color="000000" w:sz="4" w:space="0"/>
              <w:right w:val="single" w:color="000000" w:sz="4" w:space="0"/>
            </w:tcBorders>
          </w:tcPr>
          <w:p>
            <w:pPr>
              <w:spacing w:after="28" w:line="240" w:lineRule="auto"/>
              <w:ind w:left="211"/>
              <w:rPr>
                <w:rFonts w:ascii="微软雅黑" w:hAnsi="微软雅黑" w:eastAsia="微软雅黑"/>
              </w:rPr>
            </w:pPr>
            <w:r>
              <w:rPr>
                <w:rFonts w:ascii="微软雅黑" w:hAnsi="微软雅黑" w:eastAsia="微软雅黑" w:cs="微软雅黑"/>
                <w:sz w:val="24"/>
              </w:rPr>
              <w:t>该专业教师队伍情况</w:t>
            </w:r>
            <w:r>
              <w:rPr>
                <w:rFonts w:ascii="微软雅黑" w:hAnsi="微软雅黑" w:eastAsia="微软雅黑" w:cs="Times New Roman"/>
                <w:sz w:val="24"/>
              </w:rPr>
              <w:t xml:space="preserve"> </w:t>
            </w:r>
          </w:p>
          <w:p>
            <w:pPr>
              <w:spacing w:after="0" w:line="240" w:lineRule="auto"/>
              <w:jc w:val="both"/>
              <w:rPr>
                <w:rFonts w:ascii="微软雅黑" w:hAnsi="微软雅黑" w:eastAsia="微软雅黑"/>
              </w:rPr>
            </w:pPr>
            <w:r>
              <w:rPr>
                <w:rFonts w:ascii="微软雅黑" w:hAnsi="微软雅黑" w:eastAsia="微软雅黑" w:cs="微软雅黑"/>
                <w:sz w:val="24"/>
              </w:rPr>
              <w:t>（上传教师基本情况表）</w:t>
            </w:r>
            <w:r>
              <w:rPr>
                <w:rFonts w:ascii="微软雅黑" w:hAnsi="微软雅黑" w:eastAsia="微软雅黑" w:cs="Times New Roman"/>
                <w:sz w:val="24"/>
              </w:rPr>
              <w:t xml:space="preserve"> </w:t>
            </w:r>
          </w:p>
        </w:tc>
      </w:tr>
      <w:tr>
        <w:tblPrEx>
          <w:tblLayout w:type="fixed"/>
          <w:tblCellMar>
            <w:top w:w="48" w:type="dxa"/>
            <w:left w:w="108" w:type="dxa"/>
            <w:bottom w:w="0" w:type="dxa"/>
            <w:right w:w="51" w:type="dxa"/>
          </w:tblCellMar>
        </w:tblPrEx>
        <w:trPr>
          <w:trHeight w:val="650" w:hRule="atLeast"/>
        </w:trPr>
        <w:tc>
          <w:tcPr>
            <w:tcW w:w="2393"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right="58"/>
              <w:jc w:val="center"/>
              <w:rPr>
                <w:rFonts w:ascii="微软雅黑" w:hAnsi="微软雅黑" w:eastAsia="微软雅黑"/>
              </w:rPr>
            </w:pPr>
            <w:r>
              <w:rPr>
                <w:rFonts w:ascii="微软雅黑" w:hAnsi="微软雅黑" w:eastAsia="微软雅黑" w:cs="微软雅黑"/>
                <w:sz w:val="24"/>
              </w:rPr>
              <w:t xml:space="preserve">相近专业 </w:t>
            </w:r>
            <w:r>
              <w:rPr>
                <w:rFonts w:ascii="微软雅黑" w:hAnsi="微软雅黑" w:eastAsia="微软雅黑" w:cs="Times New Roman"/>
                <w:sz w:val="24"/>
              </w:rPr>
              <w:t xml:space="preserve">3 </w:t>
            </w:r>
          </w:p>
        </w:tc>
        <w:tc>
          <w:tcPr>
            <w:tcW w:w="23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125"/>
              <w:rPr>
                <w:rFonts w:ascii="微软雅黑" w:hAnsi="微软雅黑" w:eastAsia="微软雅黑"/>
              </w:rPr>
            </w:pPr>
            <w:r>
              <w:rPr>
                <w:rFonts w:hint="eastAsia" w:ascii="微软雅黑" w:hAnsi="微软雅黑" w:eastAsia="微软雅黑"/>
              </w:rPr>
              <w:t>电子信息工程</w:t>
            </w:r>
          </w:p>
        </w:tc>
        <w:tc>
          <w:tcPr>
            <w:tcW w:w="1987"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166"/>
              <w:jc w:val="center"/>
              <w:rPr>
                <w:rFonts w:ascii="微软雅黑" w:hAnsi="微软雅黑" w:eastAsia="微软雅黑"/>
              </w:rPr>
            </w:pPr>
            <w:r>
              <w:rPr>
                <w:rFonts w:hint="eastAsia" w:ascii="微软雅黑" w:hAnsi="微软雅黑" w:eastAsia="微软雅黑" w:cs="Times New Roman"/>
                <w:sz w:val="24"/>
              </w:rPr>
              <w:t>1999年</w:t>
            </w:r>
          </w:p>
        </w:tc>
        <w:tc>
          <w:tcPr>
            <w:tcW w:w="2802" w:type="dxa"/>
            <w:gridSpan w:val="2"/>
            <w:tcBorders>
              <w:top w:val="single" w:color="000000" w:sz="4" w:space="0"/>
              <w:left w:val="single" w:color="000000" w:sz="4" w:space="0"/>
              <w:bottom w:val="single" w:color="000000" w:sz="4" w:space="0"/>
              <w:right w:val="single" w:color="000000" w:sz="4" w:space="0"/>
            </w:tcBorders>
          </w:tcPr>
          <w:p>
            <w:pPr>
              <w:spacing w:after="30" w:line="240" w:lineRule="auto"/>
              <w:ind w:left="211"/>
              <w:rPr>
                <w:rFonts w:ascii="微软雅黑" w:hAnsi="微软雅黑" w:eastAsia="微软雅黑"/>
              </w:rPr>
            </w:pPr>
            <w:r>
              <w:rPr>
                <w:rFonts w:ascii="微软雅黑" w:hAnsi="微软雅黑" w:eastAsia="微软雅黑" w:cs="微软雅黑"/>
                <w:sz w:val="24"/>
              </w:rPr>
              <w:t>该专业教师队伍情况</w:t>
            </w:r>
            <w:r>
              <w:rPr>
                <w:rFonts w:ascii="微软雅黑" w:hAnsi="微软雅黑" w:eastAsia="微软雅黑" w:cs="Times New Roman"/>
                <w:sz w:val="24"/>
              </w:rPr>
              <w:t xml:space="preserve"> </w:t>
            </w:r>
          </w:p>
          <w:p>
            <w:pPr>
              <w:spacing w:after="0" w:line="240" w:lineRule="auto"/>
              <w:jc w:val="both"/>
              <w:rPr>
                <w:rFonts w:ascii="微软雅黑" w:hAnsi="微软雅黑" w:eastAsia="微软雅黑"/>
              </w:rPr>
            </w:pPr>
            <w:r>
              <w:rPr>
                <w:rFonts w:ascii="微软雅黑" w:hAnsi="微软雅黑" w:eastAsia="微软雅黑" w:cs="微软雅黑"/>
                <w:sz w:val="24"/>
              </w:rPr>
              <w:t>（上传教师基本情况表）</w:t>
            </w:r>
            <w:r>
              <w:rPr>
                <w:rFonts w:ascii="微软雅黑" w:hAnsi="微软雅黑" w:eastAsia="微软雅黑" w:cs="Times New Roman"/>
                <w:sz w:val="24"/>
              </w:rPr>
              <w:t xml:space="preserve"> </w:t>
            </w:r>
          </w:p>
        </w:tc>
      </w:tr>
      <w:tr>
        <w:tblPrEx>
          <w:tblLayout w:type="fixed"/>
          <w:tblCellMar>
            <w:top w:w="48" w:type="dxa"/>
            <w:left w:w="108" w:type="dxa"/>
            <w:bottom w:w="0" w:type="dxa"/>
            <w:right w:w="51" w:type="dxa"/>
          </w:tblCellMar>
        </w:tblPrEx>
        <w:trPr>
          <w:trHeight w:val="3234" w:hRule="atLeast"/>
        </w:trPr>
        <w:tc>
          <w:tcPr>
            <w:tcW w:w="2393" w:type="dxa"/>
            <w:tcBorders>
              <w:top w:val="single" w:color="000000" w:sz="4" w:space="0"/>
              <w:left w:val="single" w:color="000000" w:sz="4" w:space="0"/>
              <w:bottom w:val="single" w:color="000000" w:sz="4" w:space="0"/>
              <w:right w:val="single" w:color="000000" w:sz="4" w:space="0"/>
            </w:tcBorders>
          </w:tcPr>
          <w:p>
            <w:pPr>
              <w:spacing w:after="30" w:line="240" w:lineRule="auto"/>
              <w:ind w:left="247"/>
              <w:rPr>
                <w:rFonts w:ascii="微软雅黑" w:hAnsi="微软雅黑" w:eastAsia="微软雅黑"/>
              </w:rPr>
            </w:pPr>
            <w:r>
              <w:rPr>
                <w:rFonts w:ascii="微软雅黑" w:hAnsi="微软雅黑" w:eastAsia="微软雅黑" w:cs="微软雅黑"/>
                <w:sz w:val="24"/>
              </w:rPr>
              <w:t>增设专业区分度</w:t>
            </w:r>
            <w:r>
              <w:rPr>
                <w:rFonts w:ascii="微软雅黑" w:hAnsi="微软雅黑" w:eastAsia="微软雅黑" w:cs="Times New Roman"/>
                <w:sz w:val="24"/>
              </w:rPr>
              <w:t xml:space="preserve"> </w:t>
            </w:r>
          </w:p>
          <w:p>
            <w:pPr>
              <w:spacing w:after="0" w:line="240" w:lineRule="auto"/>
              <w:ind w:left="7"/>
              <w:jc w:val="both"/>
              <w:rPr>
                <w:rFonts w:ascii="微软雅黑" w:hAnsi="微软雅黑" w:eastAsia="微软雅黑"/>
              </w:rPr>
            </w:pPr>
            <w:r>
              <w:rPr>
                <w:rFonts w:ascii="微软雅黑" w:hAnsi="微软雅黑" w:eastAsia="微软雅黑" w:cs="微软雅黑"/>
                <w:sz w:val="24"/>
              </w:rPr>
              <w:t>（目录外专业填写）</w:t>
            </w:r>
            <w:r>
              <w:rPr>
                <w:rFonts w:ascii="微软雅黑" w:hAnsi="微软雅黑" w:eastAsia="微软雅黑" w:cs="Times New Roman"/>
                <w:sz w:val="24"/>
              </w:rPr>
              <w:t xml:space="preserve"> </w:t>
            </w:r>
          </w:p>
        </w:tc>
        <w:tc>
          <w:tcPr>
            <w:tcW w:w="4378" w:type="dxa"/>
            <w:gridSpan w:val="2"/>
            <w:tcBorders>
              <w:top w:val="single" w:color="000000" w:sz="4" w:space="0"/>
              <w:left w:val="single" w:color="000000" w:sz="4" w:space="0"/>
              <w:bottom w:val="single" w:color="000000" w:sz="4" w:space="0"/>
              <w:right w:val="nil"/>
            </w:tcBorders>
          </w:tcPr>
          <w:p>
            <w:pPr>
              <w:spacing w:after="0" w:line="240" w:lineRule="auto"/>
              <w:ind w:left="3478"/>
              <w:rPr>
                <w:rFonts w:ascii="微软雅黑" w:hAnsi="微软雅黑" w:eastAsia="微软雅黑"/>
              </w:rPr>
            </w:pPr>
          </w:p>
        </w:tc>
        <w:tc>
          <w:tcPr>
            <w:tcW w:w="2802" w:type="dxa"/>
            <w:gridSpan w:val="2"/>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r>
      <w:tr>
        <w:tblPrEx>
          <w:tblLayout w:type="fixed"/>
          <w:tblCellMar>
            <w:top w:w="48" w:type="dxa"/>
            <w:left w:w="108" w:type="dxa"/>
            <w:bottom w:w="0" w:type="dxa"/>
            <w:right w:w="51" w:type="dxa"/>
          </w:tblCellMar>
        </w:tblPrEx>
        <w:trPr>
          <w:trHeight w:val="3721" w:hRule="atLeast"/>
        </w:trPr>
        <w:tc>
          <w:tcPr>
            <w:tcW w:w="2393"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ascii="微软雅黑" w:hAnsi="微软雅黑" w:eastAsia="微软雅黑" w:cs="微软雅黑"/>
                <w:sz w:val="24"/>
              </w:rPr>
              <w:t>增设专业的基础要求（目录外专业填写）</w:t>
            </w:r>
            <w:r>
              <w:rPr>
                <w:rFonts w:ascii="微软雅黑" w:hAnsi="微软雅黑" w:eastAsia="微软雅黑" w:cs="Times New Roman"/>
                <w:sz w:val="24"/>
              </w:rPr>
              <w:t xml:space="preserve"> </w:t>
            </w:r>
          </w:p>
        </w:tc>
        <w:tc>
          <w:tcPr>
            <w:tcW w:w="4378" w:type="dxa"/>
            <w:gridSpan w:val="2"/>
            <w:tcBorders>
              <w:top w:val="single" w:color="000000" w:sz="4" w:space="0"/>
              <w:left w:val="single" w:color="000000" w:sz="4" w:space="0"/>
              <w:bottom w:val="single" w:color="000000" w:sz="4" w:space="0"/>
              <w:right w:val="nil"/>
            </w:tcBorders>
          </w:tcPr>
          <w:p>
            <w:pPr>
              <w:spacing w:after="0" w:line="240" w:lineRule="auto"/>
              <w:ind w:left="3478"/>
              <w:rPr>
                <w:rFonts w:ascii="微软雅黑" w:hAnsi="微软雅黑" w:eastAsia="微软雅黑"/>
              </w:rPr>
            </w:pPr>
            <w:r>
              <w:rPr>
                <w:rFonts w:ascii="微软雅黑" w:hAnsi="微软雅黑" w:eastAsia="微软雅黑" w:cs="Times New Roman"/>
                <w:sz w:val="24"/>
              </w:rPr>
              <w:t xml:space="preserve"> </w:t>
            </w:r>
          </w:p>
        </w:tc>
        <w:tc>
          <w:tcPr>
            <w:tcW w:w="2802" w:type="dxa"/>
            <w:gridSpan w:val="2"/>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r>
    </w:tbl>
    <w:p>
      <w:pPr>
        <w:spacing w:after="149"/>
        <w:ind w:left="5113"/>
        <w:rPr>
          <w:rFonts w:ascii="微软雅黑" w:hAnsi="微软雅黑" w:eastAsia="微软雅黑"/>
        </w:rPr>
      </w:pPr>
      <w:r>
        <w:rPr>
          <w:rFonts w:ascii="微软雅黑" w:hAnsi="微软雅黑" w:eastAsia="微软雅黑" w:cs="微软雅黑"/>
          <w:sz w:val="36"/>
        </w:rPr>
        <w:t xml:space="preserve"> </w:t>
      </w:r>
      <w:bookmarkStart w:id="4" w:name="_GoBack"/>
      <w:bookmarkEnd w:id="4"/>
      <w:r>
        <w:rPr>
          <w:rFonts w:ascii="微软雅黑" w:hAnsi="微软雅黑" w:eastAsia="微软雅黑" w:cs="微软雅黑"/>
          <w:sz w:val="36"/>
        </w:rPr>
        <w:t xml:space="preserve"> </w:t>
      </w:r>
      <w:r>
        <w:rPr>
          <w:rFonts w:ascii="微软雅黑" w:hAnsi="微软雅黑" w:eastAsia="微软雅黑" w:cs="微软雅黑"/>
          <w:sz w:val="36"/>
        </w:rPr>
        <w:tab/>
      </w:r>
      <w:r>
        <w:rPr>
          <w:rFonts w:ascii="微软雅黑" w:hAnsi="微软雅黑" w:eastAsia="微软雅黑" w:cs="微软雅黑"/>
          <w:sz w:val="36"/>
        </w:rPr>
        <w:t xml:space="preserve"> </w:t>
      </w:r>
    </w:p>
    <w:p>
      <w:pPr>
        <w:rPr>
          <w:rFonts w:ascii="微软雅黑" w:hAnsi="微软雅黑" w:eastAsia="微软雅黑" w:cs="微软雅黑"/>
          <w:sz w:val="36"/>
        </w:rPr>
      </w:pPr>
      <w:r>
        <w:rPr>
          <w:rFonts w:ascii="微软雅黑" w:hAnsi="微软雅黑" w:eastAsia="微软雅黑"/>
        </w:rPr>
        <w:br w:type="page"/>
      </w:r>
    </w:p>
    <w:p>
      <w:pPr>
        <w:pStyle w:val="3"/>
        <w:ind w:right="2685"/>
      </w:pPr>
      <w:r>
        <w:t xml:space="preserve">3.申报专业人才需求情况 </w:t>
      </w:r>
    </w:p>
    <w:tbl>
      <w:tblPr>
        <w:tblStyle w:val="14"/>
        <w:tblW w:w="9806" w:type="dxa"/>
        <w:tblInd w:w="-31" w:type="dxa"/>
        <w:tblLayout w:type="fixed"/>
        <w:tblCellMar>
          <w:top w:w="41" w:type="dxa"/>
          <w:left w:w="108" w:type="dxa"/>
          <w:bottom w:w="84" w:type="dxa"/>
          <w:right w:w="65" w:type="dxa"/>
        </w:tblCellMar>
      </w:tblPr>
      <w:tblGrid>
        <w:gridCol w:w="1807"/>
        <w:gridCol w:w="1374"/>
        <w:gridCol w:w="2808"/>
        <w:gridCol w:w="3817"/>
      </w:tblGrid>
      <w:tr>
        <w:tblPrEx>
          <w:tblLayout w:type="fixed"/>
          <w:tblCellMar>
            <w:top w:w="41" w:type="dxa"/>
            <w:left w:w="108" w:type="dxa"/>
            <w:bottom w:w="84" w:type="dxa"/>
            <w:right w:w="65" w:type="dxa"/>
          </w:tblCellMar>
        </w:tblPrEx>
        <w:trPr>
          <w:trHeight w:val="571" w:hRule="atLeast"/>
        </w:trPr>
        <w:tc>
          <w:tcPr>
            <w:tcW w:w="3181" w:type="dxa"/>
            <w:gridSpan w:val="2"/>
            <w:tcBorders>
              <w:top w:val="single" w:color="000000" w:sz="4" w:space="0"/>
              <w:left w:val="single" w:color="000000" w:sz="4" w:space="0"/>
              <w:bottom w:val="single" w:color="000000" w:sz="6" w:space="0"/>
              <w:right w:val="single" w:color="000000" w:sz="6" w:space="0"/>
            </w:tcBorders>
            <w:vAlign w:val="center"/>
          </w:tcPr>
          <w:p>
            <w:pPr>
              <w:spacing w:after="0" w:line="240" w:lineRule="auto"/>
              <w:ind w:left="281"/>
              <w:rPr>
                <w:rFonts w:ascii="微软雅黑" w:hAnsi="微软雅黑" w:eastAsia="微软雅黑"/>
              </w:rPr>
            </w:pPr>
            <w:r>
              <w:rPr>
                <w:rFonts w:ascii="微软雅黑" w:hAnsi="微软雅黑" w:eastAsia="微软雅黑" w:cs="微软雅黑"/>
                <w:sz w:val="24"/>
              </w:rPr>
              <w:t xml:space="preserve">申报专业主要就业领域 </w:t>
            </w:r>
          </w:p>
        </w:tc>
        <w:tc>
          <w:tcPr>
            <w:tcW w:w="6625" w:type="dxa"/>
            <w:gridSpan w:val="2"/>
            <w:tcBorders>
              <w:top w:val="single" w:color="000000" w:sz="4" w:space="0"/>
              <w:left w:val="single" w:color="000000" w:sz="6" w:space="0"/>
              <w:bottom w:val="single" w:color="000000" w:sz="6" w:space="0"/>
              <w:right w:val="single" w:color="000000" w:sz="4" w:space="0"/>
            </w:tcBorders>
            <w:vAlign w:val="bottom"/>
          </w:tcPr>
          <w:p>
            <w:pPr>
              <w:spacing w:after="0" w:line="240" w:lineRule="auto"/>
              <w:ind w:left="71"/>
              <w:jc w:val="center"/>
              <w:rPr>
                <w:rFonts w:ascii="微软雅黑" w:hAnsi="微软雅黑" w:eastAsia="微软雅黑"/>
              </w:rPr>
            </w:pPr>
            <w:r>
              <w:rPr>
                <w:rFonts w:hint="eastAsia" w:ascii="微软雅黑" w:hAnsi="微软雅黑" w:eastAsia="微软雅黑" w:cs="宋体"/>
                <w:sz w:val="24"/>
              </w:rPr>
              <w:t>信息技术产业/计算机领域</w:t>
            </w:r>
            <w:r>
              <w:rPr>
                <w:rFonts w:ascii="微软雅黑" w:hAnsi="微软雅黑" w:eastAsia="微软雅黑"/>
                <w:sz w:val="24"/>
              </w:rPr>
              <w:t xml:space="preserve"> </w:t>
            </w:r>
          </w:p>
        </w:tc>
      </w:tr>
      <w:tr>
        <w:tblPrEx>
          <w:tblLayout w:type="fixed"/>
          <w:tblCellMar>
            <w:top w:w="41" w:type="dxa"/>
            <w:left w:w="108" w:type="dxa"/>
            <w:bottom w:w="84" w:type="dxa"/>
            <w:right w:w="65" w:type="dxa"/>
          </w:tblCellMar>
        </w:tblPrEx>
        <w:trPr>
          <w:trHeight w:val="6241" w:hRule="atLeast"/>
        </w:trPr>
        <w:tc>
          <w:tcPr>
            <w:tcW w:w="9806" w:type="dxa"/>
            <w:gridSpan w:val="4"/>
            <w:tcBorders>
              <w:top w:val="single" w:color="000000" w:sz="6" w:space="0"/>
              <w:left w:val="single" w:color="000000" w:sz="4" w:space="0"/>
              <w:bottom w:val="single" w:color="000000" w:sz="6" w:space="0"/>
              <w:right w:val="single" w:color="000000" w:sz="4" w:space="0"/>
            </w:tcBorders>
          </w:tcPr>
          <w:p>
            <w:pPr>
              <w:spacing w:after="0" w:line="240" w:lineRule="auto"/>
              <w:ind w:firstLine="440"/>
              <w:rPr>
                <w:rFonts w:ascii="宋体" w:hAnsi="宋体" w:eastAsia="宋体"/>
              </w:rPr>
            </w:pPr>
            <w:r>
              <w:rPr>
                <w:rFonts w:hint="eastAsia" w:ascii="宋体" w:hAnsi="宋体" w:eastAsia="宋体"/>
              </w:rPr>
              <w:t>目前，新一轮人工智能技术不断与产业结合，形成爆发式增长态势，也对科教领域提出更高、更新、更为紧迫的要求和任务。国务院关于印发</w:t>
            </w:r>
            <w:r>
              <w:rPr>
                <w:rFonts w:ascii="宋体" w:hAnsi="宋体" w:eastAsia="宋体"/>
              </w:rPr>
              <w:t>&lt;</w:t>
            </w:r>
            <w:r>
              <w:rPr>
                <w:rFonts w:hint="eastAsia" w:ascii="宋体" w:hAnsi="宋体" w:eastAsia="宋体"/>
              </w:rPr>
              <w:t>新一代人工智能发展规划的通知</w:t>
            </w:r>
            <w:r>
              <w:rPr>
                <w:rFonts w:ascii="宋体" w:hAnsi="宋体" w:eastAsia="宋体"/>
              </w:rPr>
              <w:t>&gt;(</w:t>
            </w:r>
            <w:r>
              <w:rPr>
                <w:rFonts w:hint="eastAsia" w:ascii="宋体" w:hAnsi="宋体" w:eastAsia="宋体"/>
              </w:rPr>
              <w:t>国发〔</w:t>
            </w:r>
            <w:r>
              <w:rPr>
                <w:rFonts w:ascii="宋体" w:hAnsi="宋体" w:eastAsia="宋体"/>
              </w:rPr>
              <w:t>2017</w:t>
            </w:r>
            <w:r>
              <w:rPr>
                <w:rFonts w:hint="eastAsia" w:ascii="宋体" w:hAnsi="宋体" w:eastAsia="宋体"/>
              </w:rPr>
              <w:t>〕</w:t>
            </w:r>
            <w:r>
              <w:rPr>
                <w:rFonts w:ascii="宋体" w:hAnsi="宋体" w:eastAsia="宋体"/>
              </w:rPr>
              <w:t>35</w:t>
            </w:r>
            <w:r>
              <w:rPr>
                <w:rFonts w:hint="eastAsia" w:ascii="宋体" w:hAnsi="宋体" w:eastAsia="宋体"/>
              </w:rPr>
              <w:t>号</w:t>
            </w:r>
            <w:r>
              <w:rPr>
                <w:rFonts w:ascii="宋体" w:hAnsi="宋体" w:eastAsia="宋体"/>
              </w:rPr>
              <w:t>)</w:t>
            </w:r>
            <w:r>
              <w:rPr>
                <w:rFonts w:hint="eastAsia" w:ascii="宋体" w:hAnsi="宋体" w:eastAsia="宋体"/>
              </w:rPr>
              <w:t>文件指出，要抢抓人工智能发展的重大战略机遇，构筑我国人工智能发展的先发优势，加快建设创新型国家和世界科技强国。为了顺应国家的科技发展战略，切合我国产业的发展需要，高等学校也在积极布局人工智能教育大战略。然而，全球范围内人工智能人才紧缺，从长远发展来看，解决人工智能人才紧缺的问题，关键在于人才培养。</w:t>
            </w:r>
          </w:p>
          <w:p>
            <w:pPr>
              <w:spacing w:after="0" w:line="240" w:lineRule="auto"/>
              <w:ind w:firstLine="440"/>
              <w:rPr>
                <w:rFonts w:ascii="宋体" w:hAnsi="宋体" w:eastAsia="宋体"/>
                <w:b/>
                <w:bCs/>
              </w:rPr>
            </w:pPr>
            <w:r>
              <w:rPr>
                <w:rFonts w:hint="eastAsia" w:ascii="宋体" w:hAnsi="宋体" w:eastAsia="宋体"/>
                <w:b/>
                <w:bCs/>
              </w:rPr>
              <w:t>（</w:t>
            </w:r>
            <w:r>
              <w:rPr>
                <w:rFonts w:ascii="宋体" w:hAnsi="宋体" w:eastAsia="宋体"/>
                <w:b/>
                <w:bCs/>
              </w:rPr>
              <w:t>1</w:t>
            </w:r>
            <w:r>
              <w:rPr>
                <w:rFonts w:hint="eastAsia" w:ascii="宋体" w:hAnsi="宋体" w:eastAsia="宋体"/>
                <w:b/>
                <w:bCs/>
              </w:rPr>
              <w:t>）区域经济发展需求</w:t>
            </w:r>
            <w:r>
              <w:rPr>
                <w:rFonts w:ascii="宋体" w:hAnsi="宋体" w:eastAsia="宋体"/>
                <w:b/>
                <w:bCs/>
              </w:rPr>
              <w:t xml:space="preserve"> </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目前，中国人工智能</w:t>
            </w:r>
            <w:r>
              <w:rPr>
                <w:rFonts w:ascii="宋体" w:hAnsi="宋体" w:eastAsia="宋体"/>
              </w:rPr>
              <w:t>(AI)</w:t>
            </w:r>
            <w:r>
              <w:rPr>
                <w:rFonts w:hint="eastAsia" w:ascii="宋体" w:hAnsi="宋体" w:eastAsia="宋体"/>
              </w:rPr>
              <w:t>人才需求呈爆炸式增长，智联招聘发布的</w:t>
            </w:r>
            <w:r>
              <w:rPr>
                <w:rFonts w:ascii="宋体" w:hAnsi="宋体" w:eastAsia="宋体"/>
              </w:rPr>
              <w:t>2017</w:t>
            </w:r>
            <w:r>
              <w:rPr>
                <w:rFonts w:hint="eastAsia" w:ascii="宋体" w:hAnsi="宋体" w:eastAsia="宋体"/>
              </w:rPr>
              <w:t>人工智能就业市场供需与发展研究报告显示，北京</w:t>
            </w:r>
            <w:r>
              <w:rPr>
                <w:rFonts w:ascii="宋体" w:hAnsi="宋体" w:eastAsia="宋体"/>
              </w:rPr>
              <w:t>2010</w:t>
            </w:r>
            <w:r>
              <w:rPr>
                <w:rFonts w:hint="eastAsia" w:ascii="宋体" w:hAnsi="宋体" w:eastAsia="宋体"/>
              </w:rPr>
              <w:t>年以来累计新增人工智能企业</w:t>
            </w:r>
            <w:r>
              <w:rPr>
                <w:rFonts w:ascii="宋体" w:hAnsi="宋体" w:eastAsia="宋体"/>
              </w:rPr>
              <w:t>2000</w:t>
            </w:r>
            <w:r>
              <w:rPr>
                <w:rFonts w:hint="eastAsia" w:ascii="宋体" w:hAnsi="宋体" w:eastAsia="宋体"/>
              </w:rPr>
              <w:t>多家。全国人工智能相关岗位需求排名前十的城市榜单中，北京独占</w:t>
            </w:r>
            <w:r>
              <w:rPr>
                <w:rFonts w:ascii="宋体" w:hAnsi="宋体" w:eastAsia="宋体"/>
              </w:rPr>
              <w:t>30%</w:t>
            </w:r>
            <w:r>
              <w:rPr>
                <w:rFonts w:hint="eastAsia" w:ascii="宋体" w:hAnsi="宋体" w:eastAsia="宋体"/>
              </w:rPr>
              <w:t>，排名第一。排名第二的上海需求份额为</w:t>
            </w:r>
            <w:r>
              <w:rPr>
                <w:rFonts w:ascii="宋体" w:hAnsi="宋体" w:eastAsia="宋体"/>
              </w:rPr>
              <w:t>12%</w:t>
            </w:r>
            <w:r>
              <w:rPr>
                <w:rFonts w:hint="eastAsia" w:ascii="宋体" w:hAnsi="宋体" w:eastAsia="宋体"/>
              </w:rPr>
              <w:t>，深圳、广州、杭州分列三至五位，天津、武汉、苏州三地并列第七。</w:t>
            </w:r>
          </w:p>
          <w:p>
            <w:pPr>
              <w:spacing w:after="0" w:line="240" w:lineRule="auto"/>
              <w:rPr>
                <w:rFonts w:ascii="宋体" w:hAnsi="宋体" w:eastAsia="宋体"/>
              </w:rPr>
            </w:pPr>
            <w:r>
              <w:rPr>
                <w:rFonts w:hint="eastAsia" w:ascii="宋体" w:hAnsi="宋体" w:eastAsia="宋体"/>
              </w:rPr>
              <w:t>近年来，随着中部崛起战略的深入实施，湖北省围绕人工智能孵化、加速、产业化不同发展阶段、不同类型以及人才创业创新需求，实施全方位政策扶持。随着人工智能在实践方面不断取得突破，除了科技巨头外，更多的初创公司也都加入到与</w:t>
            </w:r>
            <w:r>
              <w:rPr>
                <w:rFonts w:ascii="宋体" w:hAnsi="宋体" w:eastAsia="宋体"/>
              </w:rPr>
              <w:t>AI</w:t>
            </w:r>
            <w:r>
              <w:rPr>
                <w:rFonts w:hint="eastAsia" w:ascii="宋体" w:hAnsi="宋体" w:eastAsia="宋体"/>
              </w:rPr>
              <w:t>相关的创业大潮之中。湖北计划三年内加大与科大讯飞、小米等行业巨头合作，推进</w:t>
            </w:r>
            <w:r>
              <w:rPr>
                <w:rFonts w:ascii="宋体" w:hAnsi="宋体" w:eastAsia="宋体"/>
              </w:rPr>
              <w:t>10</w:t>
            </w:r>
            <w:r>
              <w:rPr>
                <w:rFonts w:hint="eastAsia" w:ascii="宋体" w:hAnsi="宋体" w:eastAsia="宋体"/>
              </w:rPr>
              <w:t>项人工智能技术产业转化，扶持</w:t>
            </w:r>
            <w:r>
              <w:rPr>
                <w:rFonts w:ascii="宋体" w:hAnsi="宋体" w:eastAsia="宋体"/>
              </w:rPr>
              <w:t>20</w:t>
            </w:r>
            <w:r>
              <w:rPr>
                <w:rFonts w:hint="eastAsia" w:ascii="宋体" w:hAnsi="宋体" w:eastAsia="宋体"/>
              </w:rPr>
              <w:t>至</w:t>
            </w:r>
            <w:r>
              <w:rPr>
                <w:rFonts w:ascii="宋体" w:hAnsi="宋体" w:eastAsia="宋体"/>
              </w:rPr>
              <w:t>30</w:t>
            </w:r>
            <w:r>
              <w:rPr>
                <w:rFonts w:hint="eastAsia" w:ascii="宋体" w:hAnsi="宋体" w:eastAsia="宋体"/>
              </w:rPr>
              <w:t>家人工智能企业落地，重点围绕智能汽车、智慧健康、智能医疗、智能制造等优势产业，引入技术和人才。</w:t>
            </w:r>
          </w:p>
          <w:p>
            <w:pPr>
              <w:spacing w:after="0" w:line="240" w:lineRule="auto"/>
              <w:rPr>
                <w:rFonts w:ascii="宋体" w:hAnsi="宋体" w:eastAsia="宋体"/>
                <w:b/>
                <w:bCs/>
              </w:rPr>
            </w:pPr>
            <w:r>
              <w:rPr>
                <w:rFonts w:hint="eastAsia" w:ascii="宋体" w:hAnsi="宋体" w:eastAsia="宋体"/>
              </w:rPr>
              <w:t xml:space="preserve"> </w:t>
            </w:r>
            <w:r>
              <w:rPr>
                <w:rFonts w:ascii="宋体" w:hAnsi="宋体" w:eastAsia="宋体"/>
              </w:rPr>
              <w:t xml:space="preserve">   </w:t>
            </w:r>
            <w:r>
              <w:rPr>
                <w:rFonts w:hint="eastAsia" w:ascii="宋体" w:hAnsi="宋体" w:eastAsia="宋体"/>
                <w:b/>
                <w:bCs/>
              </w:rPr>
              <w:t>（</w:t>
            </w:r>
            <w:r>
              <w:rPr>
                <w:rFonts w:ascii="宋体" w:hAnsi="宋体" w:eastAsia="宋体"/>
                <w:b/>
                <w:bCs/>
              </w:rPr>
              <w:t>2</w:t>
            </w:r>
            <w:r>
              <w:rPr>
                <w:rFonts w:hint="eastAsia" w:ascii="宋体" w:hAnsi="宋体" w:eastAsia="宋体"/>
                <w:b/>
                <w:bCs/>
              </w:rPr>
              <w:t>）行业转型升级需求</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通过调研发现，人工智能人才需求主要集中在</w:t>
            </w:r>
            <w:r>
              <w:rPr>
                <w:rFonts w:ascii="宋体" w:hAnsi="宋体" w:eastAsia="宋体"/>
              </w:rPr>
              <w:t>IT</w:t>
            </w:r>
            <w:r>
              <w:rPr>
                <w:rFonts w:hint="eastAsia" w:ascii="宋体" w:hAnsi="宋体" w:eastAsia="宋体"/>
              </w:rPr>
              <w:t>互联网及电子通信行业，近年来，像机械制造和汽车等传统行业对</w:t>
            </w:r>
            <w:r>
              <w:rPr>
                <w:rFonts w:ascii="宋体" w:hAnsi="宋体" w:eastAsia="宋体"/>
              </w:rPr>
              <w:t>AI</w:t>
            </w:r>
            <w:r>
              <w:rPr>
                <w:rFonts w:hint="eastAsia" w:ascii="宋体" w:hAnsi="宋体" w:eastAsia="宋体"/>
              </w:rPr>
              <w:t>人才的需求也在逐渐增加。在今后几年，</w:t>
            </w:r>
            <w:r>
              <w:rPr>
                <w:rFonts w:ascii="宋体" w:hAnsi="宋体" w:eastAsia="宋体"/>
              </w:rPr>
              <w:t>AI</w:t>
            </w:r>
            <w:r>
              <w:rPr>
                <w:rFonts w:hint="eastAsia" w:ascii="宋体" w:hAnsi="宋体" w:eastAsia="宋体"/>
              </w:rPr>
              <w:t>和各产业的融合将更加深入，</w:t>
            </w:r>
            <w:r>
              <w:rPr>
                <w:rFonts w:ascii="宋体" w:hAnsi="宋体" w:eastAsia="宋体"/>
              </w:rPr>
              <w:t>AI</w:t>
            </w:r>
            <w:r>
              <w:rPr>
                <w:rFonts w:hint="eastAsia" w:ascii="宋体" w:hAnsi="宋体" w:eastAsia="宋体"/>
              </w:rPr>
              <w:t>人才也会更多地分布到非互联网行业中，为社会创造更多的价值。</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随着武汉产业结构优化升级逐步加快，企业对高学历、高技能、服务型人才需求增大。数据显示，企业对专业技术人员的需求占岗位总需求的</w:t>
            </w:r>
            <w:r>
              <w:rPr>
                <w:rFonts w:ascii="宋体" w:hAnsi="宋体" w:eastAsia="宋体"/>
              </w:rPr>
              <w:t>14.6%</w:t>
            </w:r>
            <w:r>
              <w:rPr>
                <w:rFonts w:hint="eastAsia" w:ascii="宋体" w:hAnsi="宋体" w:eastAsia="宋体"/>
              </w:rPr>
              <w:t>，同比增加</w:t>
            </w:r>
            <w:r>
              <w:rPr>
                <w:rFonts w:ascii="宋体" w:hAnsi="宋体" w:eastAsia="宋体"/>
              </w:rPr>
              <w:t>2.3</w:t>
            </w:r>
            <w:r>
              <w:rPr>
                <w:rFonts w:hint="eastAsia" w:ascii="宋体" w:hAnsi="宋体" w:eastAsia="宋体"/>
              </w:rPr>
              <w:t>个百分点。企业对技术人员的需求还体现在薪资待遇上，</w:t>
            </w:r>
            <w:r>
              <w:rPr>
                <w:rFonts w:ascii="宋体" w:hAnsi="宋体" w:eastAsia="宋体"/>
              </w:rPr>
              <w:t>2018</w:t>
            </w:r>
            <w:r>
              <w:rPr>
                <w:rFonts w:hint="eastAsia" w:ascii="宋体" w:hAnsi="宋体" w:eastAsia="宋体"/>
              </w:rPr>
              <w:t>年技术人员平均月薪比管理人员高出</w:t>
            </w:r>
            <w:r>
              <w:rPr>
                <w:rFonts w:ascii="宋体" w:hAnsi="宋体" w:eastAsia="宋体"/>
              </w:rPr>
              <w:t>1000</w:t>
            </w:r>
            <w:r>
              <w:rPr>
                <w:rFonts w:hint="eastAsia" w:ascii="宋体" w:hAnsi="宋体" w:eastAsia="宋体"/>
              </w:rPr>
              <w:t>元。新兴业态、民营经济、大型企业对就业的支撑作用不断增强。进入</w:t>
            </w:r>
            <w:r>
              <w:rPr>
                <w:rFonts w:ascii="宋体" w:hAnsi="宋体" w:eastAsia="宋体"/>
              </w:rPr>
              <w:t>5G</w:t>
            </w:r>
            <w:r>
              <w:rPr>
                <w:rFonts w:hint="eastAsia" w:ascii="宋体" w:hAnsi="宋体" w:eastAsia="宋体"/>
              </w:rPr>
              <w:t>时代，天马微电子、烽火、长江存储等光谷地区通信企业用工缺口达</w:t>
            </w:r>
            <w:r>
              <w:rPr>
                <w:rFonts w:ascii="宋体" w:hAnsi="宋体" w:eastAsia="宋体"/>
              </w:rPr>
              <w:t>7000</w:t>
            </w:r>
            <w:r>
              <w:rPr>
                <w:rFonts w:hint="eastAsia" w:ascii="宋体" w:hAnsi="宋体" w:eastAsia="宋体"/>
              </w:rPr>
              <w:t>人。产业互联网的火爆也带动了人工智能、大数据人才的需求，在目前人才需求增幅最快的</w:t>
            </w:r>
            <w:r>
              <w:rPr>
                <w:rFonts w:ascii="宋体" w:hAnsi="宋体" w:eastAsia="宋体"/>
              </w:rPr>
              <w:t>15</w:t>
            </w:r>
            <w:r>
              <w:rPr>
                <w:rFonts w:hint="eastAsia" w:ascii="宋体" w:hAnsi="宋体" w:eastAsia="宋体"/>
              </w:rPr>
              <w:t>个岗位中，人工智能相关岗位占据三分之一。从人工智能人才在不同细分领域技术来看，</w:t>
            </w:r>
            <w:r>
              <w:rPr>
                <w:rFonts w:ascii="宋体" w:hAnsi="宋体" w:eastAsia="宋体"/>
              </w:rPr>
              <w:t>AI</w:t>
            </w:r>
            <w:r>
              <w:rPr>
                <w:rFonts w:hint="eastAsia" w:ascii="宋体" w:hAnsi="宋体" w:eastAsia="宋体"/>
              </w:rPr>
              <w:t>技术层和应用层的人才需要旺盛，特别是在机器学习、机器人、图像识别、语音识别和自动驾驶等领域。</w:t>
            </w:r>
          </w:p>
          <w:p>
            <w:pPr>
              <w:spacing w:after="0" w:line="240" w:lineRule="auto"/>
              <w:rPr>
                <w:rFonts w:ascii="宋体" w:hAnsi="宋体" w:eastAsia="宋体"/>
                <w:b/>
                <w:bCs/>
              </w:rPr>
            </w:pPr>
            <w:r>
              <w:rPr>
                <w:rFonts w:hint="eastAsia" w:ascii="宋体" w:hAnsi="宋体" w:eastAsia="宋体"/>
              </w:rPr>
              <w:t xml:space="preserve"> </w:t>
            </w:r>
            <w:r>
              <w:rPr>
                <w:rFonts w:ascii="宋体" w:hAnsi="宋体" w:eastAsia="宋体"/>
              </w:rPr>
              <w:t xml:space="preserve">   </w:t>
            </w:r>
            <w:r>
              <w:rPr>
                <w:rFonts w:hint="eastAsia" w:ascii="宋体" w:hAnsi="宋体" w:eastAsia="宋体"/>
                <w:b/>
                <w:bCs/>
              </w:rPr>
              <w:t>（</w:t>
            </w:r>
            <w:r>
              <w:rPr>
                <w:rFonts w:ascii="宋体" w:hAnsi="宋体" w:eastAsia="宋体"/>
                <w:b/>
                <w:bCs/>
              </w:rPr>
              <w:t>3</w:t>
            </w:r>
            <w:r>
              <w:rPr>
                <w:rFonts w:hint="eastAsia" w:ascii="宋体" w:hAnsi="宋体" w:eastAsia="宋体"/>
                <w:b/>
                <w:bCs/>
              </w:rPr>
              <w:t>）社会对人工智能知识的需求</w:t>
            </w:r>
            <w:r>
              <w:rPr>
                <w:rFonts w:ascii="宋体" w:hAnsi="宋体" w:eastAsia="宋体"/>
                <w:b/>
                <w:bCs/>
              </w:rPr>
              <w:t xml:space="preserve"> </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从薪酬分布来看，人工智能的薪资涨幅较大，平均涨幅在</w:t>
            </w:r>
            <w:r>
              <w:rPr>
                <w:rFonts w:ascii="宋体" w:hAnsi="宋体" w:eastAsia="宋体"/>
              </w:rPr>
              <w:t>20%-30%</w:t>
            </w:r>
            <w:r>
              <w:rPr>
                <w:rFonts w:hint="eastAsia" w:ascii="宋体" w:hAnsi="宋体" w:eastAsia="宋体"/>
              </w:rPr>
              <w:t>，自动驾驶及语音识别，平均每月薪资从</w:t>
            </w:r>
            <w:r>
              <w:rPr>
                <w:rFonts w:ascii="宋体" w:hAnsi="宋体" w:eastAsia="宋体"/>
              </w:rPr>
              <w:t>2017</w:t>
            </w:r>
            <w:r>
              <w:rPr>
                <w:rFonts w:hint="eastAsia" w:ascii="宋体" w:hAnsi="宋体" w:eastAsia="宋体"/>
              </w:rPr>
              <w:t>年</w:t>
            </w:r>
            <w:r>
              <w:rPr>
                <w:rFonts w:ascii="宋体" w:hAnsi="宋体" w:eastAsia="宋体"/>
              </w:rPr>
              <w:t>26.5k</w:t>
            </w:r>
            <w:r>
              <w:rPr>
                <w:rFonts w:hint="eastAsia" w:ascii="宋体" w:hAnsi="宋体" w:eastAsia="宋体"/>
              </w:rPr>
              <w:t>，涨到</w:t>
            </w:r>
            <w:r>
              <w:rPr>
                <w:rFonts w:ascii="宋体" w:hAnsi="宋体" w:eastAsia="宋体"/>
              </w:rPr>
              <w:t>34.37k</w:t>
            </w:r>
            <w:r>
              <w:rPr>
                <w:rFonts w:hint="eastAsia" w:ascii="宋体" w:hAnsi="宋体" w:eastAsia="宋体"/>
              </w:rPr>
              <w:t>，涨幅</w:t>
            </w:r>
            <w:r>
              <w:rPr>
                <w:rFonts w:ascii="宋体" w:hAnsi="宋体" w:eastAsia="宋体"/>
              </w:rPr>
              <w:t>30%</w:t>
            </w:r>
            <w:r>
              <w:rPr>
                <w:rFonts w:hint="eastAsia" w:ascii="宋体" w:hAnsi="宋体" w:eastAsia="宋体"/>
              </w:rPr>
              <w:t>。推荐算法和深度学习的高薪岗位占比最多，其年薪</w:t>
            </w:r>
            <w:r>
              <w:rPr>
                <w:rFonts w:ascii="宋体" w:hAnsi="宋体" w:eastAsia="宋体"/>
              </w:rPr>
              <w:t>25</w:t>
            </w:r>
            <w:r>
              <w:rPr>
                <w:rFonts w:hint="eastAsia" w:ascii="宋体" w:hAnsi="宋体" w:eastAsia="宋体"/>
              </w:rPr>
              <w:t>万元以上的人数占该岗位总人数分别超过</w:t>
            </w:r>
            <w:r>
              <w:rPr>
                <w:rFonts w:ascii="宋体" w:hAnsi="宋体" w:eastAsia="宋体"/>
              </w:rPr>
              <w:t>80.6%</w:t>
            </w:r>
            <w:r>
              <w:rPr>
                <w:rFonts w:hint="eastAsia" w:ascii="宋体" w:hAnsi="宋体" w:eastAsia="宋体"/>
              </w:rPr>
              <w:t>和</w:t>
            </w:r>
            <w:r>
              <w:rPr>
                <w:rFonts w:ascii="宋体" w:hAnsi="宋体" w:eastAsia="宋体"/>
              </w:rPr>
              <w:t>72.3%</w:t>
            </w:r>
            <w:r>
              <w:rPr>
                <w:rFonts w:hint="eastAsia" w:ascii="宋体" w:hAnsi="宋体" w:eastAsia="宋体"/>
              </w:rPr>
              <w:t>。</w:t>
            </w:r>
            <w:r>
              <w:rPr>
                <w:rFonts w:ascii="宋体" w:hAnsi="宋体" w:eastAsia="宋体"/>
              </w:rPr>
              <w:t xml:space="preserve"> AI</w:t>
            </w:r>
            <w:r>
              <w:rPr>
                <w:rFonts w:hint="eastAsia" w:ascii="宋体" w:hAnsi="宋体" w:eastAsia="宋体"/>
              </w:rPr>
              <w:t>领域是一个快速增长的领域，整个市场对人才的需求激增，但人才的供应还没有跟上，社会需要培养更多更专的人工智能人才。</w:t>
            </w:r>
          </w:p>
          <w:p>
            <w:pPr>
              <w:spacing w:after="0" w:line="240" w:lineRule="auto"/>
              <w:rPr>
                <w:rFonts w:ascii="宋体" w:hAnsi="宋体" w:eastAsia="宋体"/>
                <w:b/>
                <w:bCs/>
              </w:rPr>
            </w:pPr>
            <w:r>
              <w:rPr>
                <w:rFonts w:hint="eastAsia" w:ascii="宋体" w:hAnsi="宋体" w:eastAsia="宋体"/>
              </w:rPr>
              <w:t xml:space="preserve"> </w:t>
            </w:r>
            <w:r>
              <w:rPr>
                <w:rFonts w:ascii="宋体" w:hAnsi="宋体" w:eastAsia="宋体"/>
              </w:rPr>
              <w:t xml:space="preserve">   </w:t>
            </w:r>
            <w:r>
              <w:rPr>
                <w:rFonts w:hint="eastAsia" w:ascii="宋体" w:hAnsi="宋体" w:eastAsia="宋体"/>
                <w:b/>
                <w:bCs/>
              </w:rPr>
              <w:t>（</w:t>
            </w:r>
            <w:r>
              <w:rPr>
                <w:rFonts w:ascii="宋体" w:hAnsi="宋体" w:eastAsia="宋体"/>
                <w:b/>
                <w:bCs/>
              </w:rPr>
              <w:t>4</w:t>
            </w:r>
            <w:r>
              <w:rPr>
                <w:rFonts w:hint="eastAsia" w:ascii="宋体" w:hAnsi="宋体" w:eastAsia="宋体"/>
                <w:b/>
                <w:bCs/>
              </w:rPr>
              <w:t>）专业建设及申报需求</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人工智能的高科技属性决定了它具有不低的学历门槛，调查数据显示，</w:t>
            </w:r>
            <w:r>
              <w:rPr>
                <w:rFonts w:ascii="宋体" w:hAnsi="宋体" w:eastAsia="宋体"/>
              </w:rPr>
              <w:t>2018</w:t>
            </w:r>
            <w:r>
              <w:rPr>
                <w:rFonts w:hint="eastAsia" w:ascii="宋体" w:hAnsi="宋体" w:eastAsia="宋体"/>
              </w:rPr>
              <w:t>年以来，</w:t>
            </w:r>
            <w:r>
              <w:rPr>
                <w:rFonts w:ascii="宋体" w:hAnsi="宋体" w:eastAsia="宋体"/>
              </w:rPr>
              <w:t>AI</w:t>
            </w:r>
            <w:r>
              <w:rPr>
                <w:rFonts w:hint="eastAsia" w:ascii="宋体" w:hAnsi="宋体" w:eastAsia="宋体"/>
              </w:rPr>
              <w:t>核心领域专业人才对本科、硕士和博士的需求总体呈逐年上升的趋势。</w:t>
            </w:r>
            <w:r>
              <w:rPr>
                <w:rFonts w:ascii="宋体" w:hAnsi="宋体" w:eastAsia="宋体"/>
              </w:rPr>
              <w:t xml:space="preserve"> </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国家已经将人工智能上升至国家战略的层面，并提出了三步走的战略目标，到</w:t>
            </w:r>
            <w:r>
              <w:rPr>
                <w:rFonts w:ascii="宋体" w:hAnsi="宋体" w:eastAsia="宋体"/>
              </w:rPr>
              <w:t>2030</w:t>
            </w:r>
            <w:r>
              <w:rPr>
                <w:rFonts w:hint="eastAsia" w:ascii="宋体" w:hAnsi="宋体" w:eastAsia="宋体"/>
              </w:rPr>
              <w:t>年使中国人工智能理论、技术与应用总体达到世界领先水平，成为世界主要人工智能创新中心。</w:t>
            </w:r>
          </w:p>
          <w:p>
            <w:pPr>
              <w:spacing w:after="0" w:line="240" w:lineRule="auto"/>
              <w:rPr>
                <w:rFonts w:ascii="宋体" w:hAnsi="宋体" w:eastAsia="宋体"/>
              </w:rPr>
            </w:pPr>
            <w:r>
              <w:rPr>
                <w:rFonts w:hint="eastAsia" w:ascii="宋体" w:hAnsi="宋体" w:eastAsia="宋体"/>
              </w:rPr>
              <w:t xml:space="preserve"> </w:t>
            </w:r>
            <w:r>
              <w:rPr>
                <w:rFonts w:ascii="宋体" w:hAnsi="宋体" w:eastAsia="宋体"/>
              </w:rPr>
              <w:t xml:space="preserve">   </w:t>
            </w:r>
            <w:r>
              <w:rPr>
                <w:rFonts w:hint="eastAsia" w:ascii="宋体" w:hAnsi="宋体" w:eastAsia="宋体"/>
              </w:rPr>
              <w:t>目前人工智能领域的人才供给，主要集中在理工类的高校。根据最新的《中国大陆高校</w:t>
            </w:r>
            <w:r>
              <w:rPr>
                <w:rFonts w:ascii="宋体" w:hAnsi="宋体" w:eastAsia="宋体"/>
              </w:rPr>
              <w:t>AI</w:t>
            </w:r>
            <w:r>
              <w:rPr>
                <w:rFonts w:hint="eastAsia" w:ascii="宋体" w:hAnsi="宋体" w:eastAsia="宋体"/>
              </w:rPr>
              <w:t>实力</w:t>
            </w:r>
            <w:r>
              <w:rPr>
                <w:rFonts w:ascii="宋体" w:hAnsi="宋体" w:eastAsia="宋体"/>
              </w:rPr>
              <w:t>TOP60</w:t>
            </w:r>
            <w:r>
              <w:rPr>
                <w:rFonts w:hint="eastAsia" w:ascii="宋体" w:hAnsi="宋体" w:eastAsia="宋体"/>
              </w:rPr>
              <w:t>排行榜》数据，华中科技大学在</w:t>
            </w:r>
            <w:r>
              <w:rPr>
                <w:rFonts w:ascii="宋体" w:hAnsi="宋体" w:eastAsia="宋体"/>
              </w:rPr>
              <w:t>AI</w:t>
            </w:r>
            <w:r>
              <w:rPr>
                <w:rFonts w:hint="eastAsia" w:ascii="宋体" w:hAnsi="宋体" w:eastAsia="宋体"/>
              </w:rPr>
              <w:t>实力排名中名列第</w:t>
            </w:r>
            <w:r>
              <w:rPr>
                <w:rFonts w:ascii="宋体" w:hAnsi="宋体" w:eastAsia="宋体"/>
              </w:rPr>
              <w:t>9</w:t>
            </w:r>
            <w:r>
              <w:rPr>
                <w:rFonts w:hint="eastAsia" w:ascii="宋体" w:hAnsi="宋体" w:eastAsia="宋体"/>
              </w:rPr>
              <w:t>位，武汉大学名列第</w:t>
            </w:r>
            <w:r>
              <w:rPr>
                <w:rFonts w:ascii="宋体" w:hAnsi="宋体" w:eastAsia="宋体"/>
              </w:rPr>
              <w:t>17</w:t>
            </w:r>
            <w:r>
              <w:rPr>
                <w:rFonts w:hint="eastAsia" w:ascii="宋体" w:hAnsi="宋体" w:eastAsia="宋体"/>
              </w:rPr>
              <w:t>位，武汉理工大学名列第</w:t>
            </w:r>
            <w:r>
              <w:rPr>
                <w:rFonts w:ascii="宋体" w:hAnsi="宋体" w:eastAsia="宋体"/>
              </w:rPr>
              <w:t>41</w:t>
            </w:r>
            <w:r>
              <w:rPr>
                <w:rFonts w:hint="eastAsia" w:ascii="宋体" w:hAnsi="宋体" w:eastAsia="宋体"/>
              </w:rPr>
              <w:t>位。上述数据表面，湖北的人工智能人才仅有少数几个高校进行培养，培养的人数及质量远远满足不了武汉及湖北对人工智能人才需求，更不能满足全国对人工智能人才的需求。</w:t>
            </w:r>
          </w:p>
          <w:p>
            <w:pPr>
              <w:spacing w:after="0" w:line="240" w:lineRule="auto"/>
              <w:rPr>
                <w:rFonts w:ascii="宋体" w:hAnsi="宋体" w:eastAsia="宋体"/>
              </w:rPr>
            </w:pPr>
            <w:r>
              <w:rPr>
                <w:rFonts w:hint="eastAsia" w:ascii="宋体" w:hAnsi="宋体" w:eastAsia="宋体"/>
              </w:rPr>
              <w:t>武汉工程大学在计算机科学与工程学院和新建立的人工智能学院的基础上，申报建设人工智能专业，将培养更多的人工智能人才满足湖北区域经济乃至全国经济建设的要求。</w:t>
            </w:r>
          </w:p>
        </w:tc>
      </w:tr>
      <w:tr>
        <w:tblPrEx>
          <w:tblLayout w:type="fixed"/>
          <w:tblCellMar>
            <w:top w:w="41" w:type="dxa"/>
            <w:left w:w="108" w:type="dxa"/>
            <w:bottom w:w="84" w:type="dxa"/>
            <w:right w:w="65" w:type="dxa"/>
          </w:tblCellMar>
        </w:tblPrEx>
        <w:trPr>
          <w:trHeight w:val="574" w:hRule="atLeast"/>
        </w:trPr>
        <w:tc>
          <w:tcPr>
            <w:tcW w:w="1807" w:type="dxa"/>
            <w:vMerge w:val="restart"/>
            <w:tcBorders>
              <w:top w:val="single" w:color="000000" w:sz="6" w:space="0"/>
              <w:left w:val="single" w:color="000000" w:sz="4" w:space="0"/>
              <w:bottom w:val="single" w:color="000000" w:sz="4" w:space="0"/>
              <w:right w:val="single" w:color="000000" w:sz="6" w:space="0"/>
            </w:tcBorders>
            <w:vAlign w:val="bottom"/>
          </w:tcPr>
          <w:p>
            <w:pPr>
              <w:spacing w:after="0" w:line="458" w:lineRule="auto"/>
              <w:jc w:val="center"/>
              <w:rPr>
                <w:rFonts w:ascii="微软雅黑" w:hAnsi="微软雅黑" w:eastAsia="微软雅黑"/>
              </w:rPr>
            </w:pPr>
            <w:r>
              <w:rPr>
                <w:rFonts w:ascii="微软雅黑" w:hAnsi="微软雅黑" w:eastAsia="微软雅黑" w:cs="微软雅黑"/>
                <w:sz w:val="24"/>
              </w:rPr>
              <w:t>申报专业人才需求调研情况</w:t>
            </w:r>
          </w:p>
          <w:p>
            <w:pPr>
              <w:spacing w:after="0" w:line="240" w:lineRule="auto"/>
              <w:jc w:val="center"/>
              <w:rPr>
                <w:rFonts w:ascii="微软雅黑" w:hAnsi="微软雅黑" w:eastAsia="微软雅黑"/>
              </w:rPr>
            </w:pPr>
            <w:r>
              <w:rPr>
                <w:rFonts w:ascii="微软雅黑" w:hAnsi="微软雅黑" w:eastAsia="微软雅黑" w:cs="微软雅黑"/>
                <w:sz w:val="24"/>
              </w:rPr>
              <w:t xml:space="preserve">（可上传合作办学协议等） </w:t>
            </w:r>
          </w:p>
        </w:tc>
        <w:tc>
          <w:tcPr>
            <w:tcW w:w="4182" w:type="dxa"/>
            <w:gridSpan w:val="2"/>
            <w:tcBorders>
              <w:top w:val="single" w:color="000000" w:sz="6" w:space="0"/>
              <w:left w:val="single" w:color="000000" w:sz="6" w:space="0"/>
              <w:bottom w:val="single" w:color="000000" w:sz="6" w:space="0"/>
              <w:right w:val="single" w:color="000000" w:sz="6" w:space="0"/>
            </w:tcBorders>
            <w:vAlign w:val="bottom"/>
          </w:tcPr>
          <w:p>
            <w:pPr>
              <w:spacing w:after="0" w:line="240" w:lineRule="auto"/>
              <w:ind w:right="43"/>
              <w:jc w:val="center"/>
              <w:rPr>
                <w:rFonts w:ascii="微软雅黑" w:hAnsi="微软雅黑" w:eastAsia="微软雅黑"/>
              </w:rPr>
            </w:pPr>
            <w:r>
              <w:rPr>
                <w:rFonts w:ascii="微软雅黑" w:hAnsi="微软雅黑" w:eastAsia="微软雅黑" w:cs="微软雅黑"/>
                <w:sz w:val="24"/>
              </w:rPr>
              <w:t xml:space="preserve">年度计划招生人数 </w:t>
            </w:r>
          </w:p>
        </w:tc>
        <w:tc>
          <w:tcPr>
            <w:tcW w:w="3817" w:type="dxa"/>
            <w:tcBorders>
              <w:top w:val="single" w:color="000000" w:sz="6" w:space="0"/>
              <w:left w:val="single" w:color="000000" w:sz="6" w:space="0"/>
              <w:bottom w:val="single" w:color="000000" w:sz="6" w:space="0"/>
              <w:right w:val="single" w:color="000000" w:sz="4" w:space="0"/>
            </w:tcBorders>
            <w:vAlign w:val="bottom"/>
          </w:tcPr>
          <w:p>
            <w:pPr>
              <w:spacing w:after="0" w:line="240" w:lineRule="auto"/>
              <w:ind w:left="77"/>
              <w:jc w:val="center"/>
              <w:rPr>
                <w:rFonts w:ascii="微软雅黑" w:hAnsi="微软雅黑" w:eastAsia="微软雅黑"/>
              </w:rPr>
            </w:pPr>
            <w:r>
              <w:rPr>
                <w:rFonts w:hint="eastAsia" w:ascii="微软雅黑" w:hAnsi="微软雅黑" w:eastAsia="微软雅黑" w:cs="微软雅黑"/>
                <w:sz w:val="24"/>
              </w:rPr>
              <w:t>100</w:t>
            </w:r>
            <w:r>
              <w:rPr>
                <w:rFonts w:ascii="微软雅黑" w:hAnsi="微软雅黑" w:eastAsia="微软雅黑" w:cs="微软雅黑"/>
                <w:sz w:val="24"/>
              </w:rPr>
              <w:t xml:space="preserve"> </w:t>
            </w:r>
          </w:p>
        </w:tc>
      </w:tr>
      <w:tr>
        <w:tblPrEx>
          <w:tblLayout w:type="fixed"/>
          <w:tblCellMar>
            <w:top w:w="41" w:type="dxa"/>
            <w:left w:w="108" w:type="dxa"/>
            <w:bottom w:w="84" w:type="dxa"/>
            <w:right w:w="65" w:type="dxa"/>
          </w:tblCellMar>
        </w:tblPrEx>
        <w:trPr>
          <w:trHeight w:val="576" w:hRule="atLeast"/>
        </w:trPr>
        <w:tc>
          <w:tcPr>
            <w:tcW w:w="1807" w:type="dxa"/>
            <w:vMerge w:val="continue"/>
            <w:tcBorders>
              <w:top w:val="nil"/>
              <w:left w:val="single" w:color="000000" w:sz="4" w:space="0"/>
              <w:bottom w:val="nil"/>
              <w:right w:val="single" w:color="000000" w:sz="6" w:space="0"/>
            </w:tcBorders>
          </w:tcPr>
          <w:p>
            <w:pPr>
              <w:spacing w:after="0" w:line="240" w:lineRule="auto"/>
              <w:rPr>
                <w:rFonts w:ascii="微软雅黑" w:hAnsi="微软雅黑" w:eastAsia="微软雅黑"/>
              </w:rPr>
            </w:pPr>
          </w:p>
        </w:tc>
        <w:tc>
          <w:tcPr>
            <w:tcW w:w="4182" w:type="dxa"/>
            <w:gridSpan w:val="2"/>
            <w:tcBorders>
              <w:top w:val="single" w:color="000000" w:sz="6" w:space="0"/>
              <w:left w:val="single" w:color="000000" w:sz="6" w:space="0"/>
              <w:bottom w:val="single" w:color="000000" w:sz="6" w:space="0"/>
              <w:right w:val="single" w:color="000000" w:sz="6" w:space="0"/>
            </w:tcBorders>
            <w:vAlign w:val="bottom"/>
          </w:tcPr>
          <w:p>
            <w:pPr>
              <w:spacing w:after="0" w:line="240" w:lineRule="auto"/>
              <w:ind w:right="43"/>
              <w:jc w:val="center"/>
              <w:rPr>
                <w:rFonts w:ascii="微软雅黑" w:hAnsi="微软雅黑" w:eastAsia="微软雅黑"/>
              </w:rPr>
            </w:pPr>
            <w:r>
              <w:rPr>
                <w:rFonts w:ascii="微软雅黑" w:hAnsi="微软雅黑" w:eastAsia="微软雅黑" w:cs="微软雅黑"/>
                <w:sz w:val="24"/>
              </w:rPr>
              <w:t xml:space="preserve">预计升学人数 </w:t>
            </w:r>
          </w:p>
        </w:tc>
        <w:tc>
          <w:tcPr>
            <w:tcW w:w="3817" w:type="dxa"/>
            <w:tcBorders>
              <w:top w:val="single" w:color="000000" w:sz="6" w:space="0"/>
              <w:left w:val="single" w:color="000000" w:sz="6" w:space="0"/>
              <w:bottom w:val="single" w:color="000000" w:sz="6" w:space="0"/>
              <w:right w:val="single" w:color="000000" w:sz="4" w:space="0"/>
            </w:tcBorders>
            <w:vAlign w:val="bottom"/>
          </w:tcPr>
          <w:p>
            <w:pPr>
              <w:spacing w:after="0" w:line="240" w:lineRule="auto"/>
              <w:ind w:left="77"/>
              <w:jc w:val="center"/>
              <w:rPr>
                <w:rFonts w:ascii="微软雅黑" w:hAnsi="微软雅黑" w:eastAsia="微软雅黑"/>
              </w:rPr>
            </w:pPr>
            <w:r>
              <w:rPr>
                <w:rFonts w:ascii="微软雅黑" w:hAnsi="微软雅黑" w:eastAsia="微软雅黑" w:cs="微软雅黑"/>
                <w:sz w:val="24"/>
              </w:rPr>
              <w:t xml:space="preserve"> </w:t>
            </w:r>
            <w:r>
              <w:rPr>
                <w:rFonts w:hint="eastAsia" w:ascii="微软雅黑" w:hAnsi="微软雅黑" w:eastAsia="微软雅黑" w:cs="微软雅黑"/>
                <w:sz w:val="24"/>
              </w:rPr>
              <w:t>30</w:t>
            </w:r>
          </w:p>
        </w:tc>
      </w:tr>
      <w:tr>
        <w:tblPrEx>
          <w:tblLayout w:type="fixed"/>
          <w:tblCellMar>
            <w:top w:w="41" w:type="dxa"/>
            <w:left w:w="108" w:type="dxa"/>
            <w:bottom w:w="84" w:type="dxa"/>
            <w:right w:w="65" w:type="dxa"/>
          </w:tblCellMar>
        </w:tblPrEx>
        <w:trPr>
          <w:trHeight w:val="574" w:hRule="atLeast"/>
        </w:trPr>
        <w:tc>
          <w:tcPr>
            <w:tcW w:w="1807" w:type="dxa"/>
            <w:vMerge w:val="continue"/>
            <w:tcBorders>
              <w:top w:val="nil"/>
              <w:left w:val="single" w:color="000000" w:sz="4" w:space="0"/>
              <w:bottom w:val="nil"/>
              <w:right w:val="single" w:color="000000" w:sz="6" w:space="0"/>
            </w:tcBorders>
          </w:tcPr>
          <w:p>
            <w:pPr>
              <w:spacing w:after="0" w:line="240" w:lineRule="auto"/>
              <w:rPr>
                <w:rFonts w:ascii="微软雅黑" w:hAnsi="微软雅黑" w:eastAsia="微软雅黑"/>
              </w:rPr>
            </w:pPr>
          </w:p>
        </w:tc>
        <w:tc>
          <w:tcPr>
            <w:tcW w:w="4182" w:type="dxa"/>
            <w:gridSpan w:val="2"/>
            <w:tcBorders>
              <w:top w:val="single" w:color="000000" w:sz="6" w:space="0"/>
              <w:left w:val="single" w:color="000000" w:sz="6" w:space="0"/>
              <w:bottom w:val="single" w:color="000000" w:sz="6" w:space="0"/>
              <w:right w:val="single" w:color="000000" w:sz="6" w:space="0"/>
            </w:tcBorders>
            <w:vAlign w:val="bottom"/>
          </w:tcPr>
          <w:p>
            <w:pPr>
              <w:spacing w:after="0" w:line="240" w:lineRule="auto"/>
              <w:ind w:right="43"/>
              <w:jc w:val="center"/>
              <w:rPr>
                <w:rFonts w:ascii="微软雅黑" w:hAnsi="微软雅黑" w:eastAsia="微软雅黑"/>
              </w:rPr>
            </w:pPr>
            <w:r>
              <w:rPr>
                <w:rFonts w:ascii="微软雅黑" w:hAnsi="微软雅黑" w:eastAsia="微软雅黑" w:cs="微软雅黑"/>
                <w:sz w:val="24"/>
              </w:rPr>
              <w:t xml:space="preserve">预计就业人数 </w:t>
            </w:r>
          </w:p>
        </w:tc>
        <w:tc>
          <w:tcPr>
            <w:tcW w:w="3817" w:type="dxa"/>
            <w:tcBorders>
              <w:top w:val="single" w:color="000000" w:sz="6" w:space="0"/>
              <w:left w:val="single" w:color="000000" w:sz="6" w:space="0"/>
              <w:bottom w:val="single" w:color="000000" w:sz="6" w:space="0"/>
              <w:right w:val="single" w:color="000000" w:sz="4" w:space="0"/>
            </w:tcBorders>
            <w:vAlign w:val="bottom"/>
          </w:tcPr>
          <w:p>
            <w:pPr>
              <w:spacing w:after="0" w:line="240" w:lineRule="auto"/>
              <w:ind w:left="77"/>
              <w:jc w:val="center"/>
              <w:rPr>
                <w:rFonts w:ascii="微软雅黑" w:hAnsi="微软雅黑" w:eastAsia="微软雅黑"/>
              </w:rPr>
            </w:pPr>
            <w:r>
              <w:rPr>
                <w:rFonts w:hint="eastAsia" w:ascii="微软雅黑" w:hAnsi="微软雅黑" w:eastAsia="微软雅黑" w:cs="微软雅黑"/>
                <w:sz w:val="24"/>
              </w:rPr>
              <w:t>70</w:t>
            </w:r>
            <w:r>
              <w:rPr>
                <w:rFonts w:ascii="微软雅黑" w:hAnsi="微软雅黑" w:eastAsia="微软雅黑" w:cs="微软雅黑"/>
                <w:sz w:val="24"/>
              </w:rPr>
              <w:t xml:space="preserve"> </w:t>
            </w:r>
          </w:p>
        </w:tc>
      </w:tr>
      <w:tr>
        <w:tblPrEx>
          <w:tblLayout w:type="fixed"/>
          <w:tblCellMar>
            <w:top w:w="41" w:type="dxa"/>
            <w:left w:w="108" w:type="dxa"/>
            <w:bottom w:w="84" w:type="dxa"/>
            <w:right w:w="65" w:type="dxa"/>
          </w:tblCellMar>
        </w:tblPrEx>
        <w:trPr>
          <w:trHeight w:val="576" w:hRule="atLeast"/>
        </w:trPr>
        <w:tc>
          <w:tcPr>
            <w:tcW w:w="1807" w:type="dxa"/>
            <w:vMerge w:val="continue"/>
            <w:tcBorders>
              <w:top w:val="nil"/>
              <w:left w:val="single" w:color="000000" w:sz="4" w:space="0"/>
              <w:bottom w:val="nil"/>
              <w:right w:val="single" w:color="000000" w:sz="6" w:space="0"/>
            </w:tcBorders>
          </w:tcPr>
          <w:p>
            <w:pPr>
              <w:spacing w:after="0" w:line="240" w:lineRule="auto"/>
              <w:rPr>
                <w:rFonts w:ascii="微软雅黑" w:hAnsi="微软雅黑" w:eastAsia="微软雅黑"/>
              </w:rPr>
            </w:pPr>
          </w:p>
        </w:tc>
        <w:tc>
          <w:tcPr>
            <w:tcW w:w="4182" w:type="dxa"/>
            <w:gridSpan w:val="2"/>
            <w:tcBorders>
              <w:top w:val="single" w:color="000000" w:sz="6" w:space="0"/>
              <w:left w:val="single" w:color="000000" w:sz="6" w:space="0"/>
              <w:bottom w:val="single" w:color="000000" w:sz="6" w:space="0"/>
              <w:right w:val="single" w:color="000000" w:sz="6" w:space="0"/>
            </w:tcBorders>
            <w:vAlign w:val="bottom"/>
          </w:tcPr>
          <w:p>
            <w:pPr>
              <w:spacing w:after="0" w:line="240" w:lineRule="auto"/>
              <w:ind w:right="44"/>
              <w:jc w:val="center"/>
              <w:rPr>
                <w:rFonts w:ascii="微软雅黑" w:hAnsi="微软雅黑" w:eastAsia="微软雅黑"/>
              </w:rPr>
            </w:pPr>
            <w:r>
              <w:rPr>
                <w:rFonts w:ascii="微软雅黑" w:hAnsi="微软雅黑" w:eastAsia="微软雅黑" w:cs="微软雅黑"/>
                <w:sz w:val="24"/>
              </w:rPr>
              <w:t xml:space="preserve">其中：（请填写用人单位名称） </w:t>
            </w:r>
          </w:p>
        </w:tc>
        <w:tc>
          <w:tcPr>
            <w:tcW w:w="3817" w:type="dxa"/>
            <w:tcBorders>
              <w:top w:val="single" w:color="000000" w:sz="6" w:space="0"/>
              <w:left w:val="single" w:color="000000" w:sz="6" w:space="0"/>
              <w:bottom w:val="single" w:color="000000" w:sz="6" w:space="0"/>
              <w:right w:val="single" w:color="000000" w:sz="4" w:space="0"/>
            </w:tcBorders>
            <w:vAlign w:val="bottom"/>
          </w:tcPr>
          <w:p>
            <w:pPr>
              <w:spacing w:after="0" w:line="240" w:lineRule="auto"/>
              <w:ind w:left="77"/>
              <w:jc w:val="center"/>
              <w:rPr>
                <w:rFonts w:ascii="微软雅黑" w:hAnsi="微软雅黑" w:eastAsia="微软雅黑"/>
              </w:rPr>
            </w:pPr>
            <w:r>
              <w:rPr>
                <w:rFonts w:hint="eastAsia" w:ascii="微软雅黑" w:hAnsi="微软雅黑" w:eastAsia="微软雅黑" w:cs="微软雅黑"/>
                <w:sz w:val="24"/>
              </w:rPr>
              <w:t>华为技术有限公司</w:t>
            </w:r>
            <w:r>
              <w:rPr>
                <w:rFonts w:ascii="微软雅黑" w:hAnsi="微软雅黑" w:eastAsia="微软雅黑" w:cs="微软雅黑"/>
                <w:sz w:val="24"/>
              </w:rPr>
              <w:t xml:space="preserve"> </w:t>
            </w:r>
          </w:p>
        </w:tc>
      </w:tr>
      <w:tr>
        <w:tblPrEx>
          <w:tblLayout w:type="fixed"/>
          <w:tblCellMar>
            <w:top w:w="41" w:type="dxa"/>
            <w:left w:w="108" w:type="dxa"/>
            <w:bottom w:w="84" w:type="dxa"/>
            <w:right w:w="65" w:type="dxa"/>
          </w:tblCellMar>
        </w:tblPrEx>
        <w:trPr>
          <w:trHeight w:val="576" w:hRule="atLeast"/>
        </w:trPr>
        <w:tc>
          <w:tcPr>
            <w:tcW w:w="1807" w:type="dxa"/>
            <w:vMerge w:val="continue"/>
            <w:tcBorders>
              <w:top w:val="nil"/>
              <w:left w:val="single" w:color="000000" w:sz="4" w:space="0"/>
              <w:bottom w:val="nil"/>
              <w:right w:val="single" w:color="000000" w:sz="6" w:space="0"/>
            </w:tcBorders>
          </w:tcPr>
          <w:p>
            <w:pPr>
              <w:spacing w:after="0" w:line="240" w:lineRule="auto"/>
              <w:rPr>
                <w:rFonts w:ascii="微软雅黑" w:hAnsi="微软雅黑" w:eastAsia="微软雅黑"/>
              </w:rPr>
            </w:pPr>
          </w:p>
        </w:tc>
        <w:tc>
          <w:tcPr>
            <w:tcW w:w="4182" w:type="dxa"/>
            <w:gridSpan w:val="2"/>
            <w:tcBorders>
              <w:top w:val="single" w:color="000000" w:sz="6" w:space="0"/>
              <w:left w:val="single" w:color="000000" w:sz="6" w:space="0"/>
              <w:bottom w:val="single" w:color="000000" w:sz="6" w:space="0"/>
              <w:right w:val="single" w:color="000000" w:sz="6" w:space="0"/>
            </w:tcBorders>
            <w:vAlign w:val="bottom"/>
          </w:tcPr>
          <w:p>
            <w:pPr>
              <w:spacing w:after="0" w:line="240" w:lineRule="auto"/>
              <w:ind w:right="43"/>
              <w:jc w:val="center"/>
              <w:rPr>
                <w:rFonts w:ascii="微软雅黑" w:hAnsi="微软雅黑" w:eastAsia="微软雅黑"/>
              </w:rPr>
            </w:pPr>
            <w:r>
              <w:rPr>
                <w:rFonts w:ascii="微软雅黑" w:hAnsi="微软雅黑" w:eastAsia="微软雅黑" w:cs="微软雅黑"/>
                <w:sz w:val="24"/>
              </w:rPr>
              <w:t xml:space="preserve">（请填写用人单位名称） </w:t>
            </w:r>
          </w:p>
        </w:tc>
        <w:tc>
          <w:tcPr>
            <w:tcW w:w="3817" w:type="dxa"/>
            <w:tcBorders>
              <w:top w:val="single" w:color="000000" w:sz="6" w:space="0"/>
              <w:left w:val="single" w:color="000000" w:sz="6" w:space="0"/>
              <w:bottom w:val="single" w:color="000000" w:sz="6" w:space="0"/>
              <w:right w:val="single" w:color="000000" w:sz="4" w:space="0"/>
            </w:tcBorders>
            <w:vAlign w:val="bottom"/>
          </w:tcPr>
          <w:p>
            <w:pPr>
              <w:spacing w:after="0" w:line="240" w:lineRule="auto"/>
              <w:ind w:left="77"/>
              <w:jc w:val="center"/>
              <w:rPr>
                <w:rFonts w:ascii="微软雅黑" w:hAnsi="微软雅黑" w:eastAsia="微软雅黑"/>
              </w:rPr>
            </w:pPr>
            <w:r>
              <w:rPr>
                <w:rFonts w:hint="eastAsia" w:ascii="微软雅黑" w:hAnsi="微软雅黑" w:eastAsia="微软雅黑" w:cs="微软雅黑"/>
                <w:sz w:val="24"/>
              </w:rPr>
              <w:t>百度信息技术公司</w:t>
            </w:r>
            <w:r>
              <w:rPr>
                <w:rFonts w:ascii="微软雅黑" w:hAnsi="微软雅黑" w:eastAsia="微软雅黑" w:cs="微软雅黑"/>
                <w:sz w:val="24"/>
              </w:rPr>
              <w:t xml:space="preserve"> </w:t>
            </w:r>
          </w:p>
        </w:tc>
      </w:tr>
      <w:tr>
        <w:tblPrEx>
          <w:tblLayout w:type="fixed"/>
          <w:tblCellMar>
            <w:top w:w="41" w:type="dxa"/>
            <w:left w:w="108" w:type="dxa"/>
            <w:bottom w:w="84" w:type="dxa"/>
            <w:right w:w="65" w:type="dxa"/>
          </w:tblCellMar>
        </w:tblPrEx>
        <w:trPr>
          <w:trHeight w:val="574" w:hRule="atLeast"/>
        </w:trPr>
        <w:tc>
          <w:tcPr>
            <w:tcW w:w="1807" w:type="dxa"/>
            <w:vMerge w:val="continue"/>
            <w:tcBorders>
              <w:top w:val="nil"/>
              <w:left w:val="single" w:color="000000" w:sz="4" w:space="0"/>
              <w:bottom w:val="nil"/>
              <w:right w:val="single" w:color="000000" w:sz="6" w:space="0"/>
            </w:tcBorders>
          </w:tcPr>
          <w:p>
            <w:pPr>
              <w:spacing w:after="0" w:line="240" w:lineRule="auto"/>
              <w:rPr>
                <w:rFonts w:ascii="微软雅黑" w:hAnsi="微软雅黑" w:eastAsia="微软雅黑"/>
              </w:rPr>
            </w:pPr>
          </w:p>
        </w:tc>
        <w:tc>
          <w:tcPr>
            <w:tcW w:w="4182" w:type="dxa"/>
            <w:gridSpan w:val="2"/>
            <w:tcBorders>
              <w:top w:val="single" w:color="000000" w:sz="6" w:space="0"/>
              <w:left w:val="single" w:color="000000" w:sz="6" w:space="0"/>
              <w:bottom w:val="single" w:color="000000" w:sz="6" w:space="0"/>
              <w:right w:val="single" w:color="000000" w:sz="6" w:space="0"/>
            </w:tcBorders>
            <w:vAlign w:val="bottom"/>
          </w:tcPr>
          <w:p>
            <w:pPr>
              <w:spacing w:after="0" w:line="240" w:lineRule="auto"/>
              <w:ind w:right="43"/>
              <w:jc w:val="center"/>
              <w:rPr>
                <w:rFonts w:ascii="微软雅黑" w:hAnsi="微软雅黑" w:eastAsia="微软雅黑"/>
              </w:rPr>
            </w:pPr>
            <w:r>
              <w:rPr>
                <w:rFonts w:ascii="微软雅黑" w:hAnsi="微软雅黑" w:eastAsia="微软雅黑" w:cs="微软雅黑"/>
                <w:sz w:val="24"/>
              </w:rPr>
              <w:t xml:space="preserve">（请填写用人单位名称） </w:t>
            </w:r>
          </w:p>
        </w:tc>
        <w:tc>
          <w:tcPr>
            <w:tcW w:w="3817" w:type="dxa"/>
            <w:tcBorders>
              <w:top w:val="single" w:color="000000" w:sz="6" w:space="0"/>
              <w:left w:val="single" w:color="000000" w:sz="6" w:space="0"/>
              <w:bottom w:val="single" w:color="000000" w:sz="6" w:space="0"/>
              <w:right w:val="single" w:color="000000" w:sz="4" w:space="0"/>
            </w:tcBorders>
            <w:vAlign w:val="bottom"/>
          </w:tcPr>
          <w:p>
            <w:pPr>
              <w:spacing w:after="0" w:line="240" w:lineRule="auto"/>
              <w:ind w:left="77"/>
              <w:rPr>
                <w:rFonts w:ascii="微软雅黑" w:hAnsi="微软雅黑" w:eastAsia="微软雅黑"/>
              </w:rPr>
            </w:pPr>
            <w:r>
              <w:rPr>
                <w:rFonts w:hint="eastAsia" w:ascii="微软雅黑" w:hAnsi="微软雅黑" w:eastAsia="微软雅黑"/>
                <w:sz w:val="24"/>
              </w:rPr>
              <w:t>深圳市星图智控科技有限公司</w:t>
            </w:r>
          </w:p>
        </w:tc>
      </w:tr>
      <w:tr>
        <w:tblPrEx>
          <w:tblLayout w:type="fixed"/>
          <w:tblCellMar>
            <w:top w:w="41" w:type="dxa"/>
            <w:left w:w="108" w:type="dxa"/>
            <w:bottom w:w="84" w:type="dxa"/>
            <w:right w:w="65" w:type="dxa"/>
          </w:tblCellMar>
        </w:tblPrEx>
        <w:trPr>
          <w:trHeight w:val="574" w:hRule="atLeast"/>
        </w:trPr>
        <w:tc>
          <w:tcPr>
            <w:tcW w:w="1807" w:type="dxa"/>
            <w:vMerge w:val="continue"/>
            <w:tcBorders>
              <w:top w:val="nil"/>
              <w:left w:val="single" w:color="000000" w:sz="4" w:space="0"/>
              <w:bottom w:val="single" w:color="000000" w:sz="4" w:space="0"/>
              <w:right w:val="single" w:color="000000" w:sz="6" w:space="0"/>
            </w:tcBorders>
          </w:tcPr>
          <w:p>
            <w:pPr>
              <w:spacing w:after="0" w:line="240" w:lineRule="auto"/>
              <w:rPr>
                <w:rFonts w:ascii="微软雅黑" w:hAnsi="微软雅黑" w:eastAsia="微软雅黑"/>
              </w:rPr>
            </w:pPr>
          </w:p>
        </w:tc>
        <w:tc>
          <w:tcPr>
            <w:tcW w:w="4182" w:type="dxa"/>
            <w:gridSpan w:val="2"/>
            <w:tcBorders>
              <w:top w:val="single" w:color="000000" w:sz="6" w:space="0"/>
              <w:left w:val="single" w:color="000000" w:sz="6" w:space="0"/>
              <w:bottom w:val="single" w:color="000000" w:sz="4" w:space="0"/>
              <w:right w:val="single" w:color="000000" w:sz="6" w:space="0"/>
            </w:tcBorders>
            <w:vAlign w:val="bottom"/>
          </w:tcPr>
          <w:p>
            <w:pPr>
              <w:spacing w:after="0" w:line="240" w:lineRule="auto"/>
              <w:ind w:right="43"/>
              <w:jc w:val="center"/>
              <w:rPr>
                <w:rFonts w:ascii="微软雅黑" w:hAnsi="微软雅黑" w:eastAsia="微软雅黑"/>
              </w:rPr>
            </w:pPr>
            <w:r>
              <w:rPr>
                <w:rFonts w:ascii="微软雅黑" w:hAnsi="微软雅黑" w:eastAsia="微软雅黑" w:cs="微软雅黑"/>
                <w:sz w:val="24"/>
              </w:rPr>
              <w:t xml:space="preserve">（请填写用人单位名称） </w:t>
            </w:r>
          </w:p>
        </w:tc>
        <w:tc>
          <w:tcPr>
            <w:tcW w:w="3817" w:type="dxa"/>
            <w:tcBorders>
              <w:top w:val="single" w:color="000000" w:sz="6" w:space="0"/>
              <w:left w:val="single" w:color="000000" w:sz="6" w:space="0"/>
              <w:bottom w:val="single" w:color="000000" w:sz="4" w:space="0"/>
              <w:right w:val="single" w:color="000000" w:sz="4" w:space="0"/>
            </w:tcBorders>
            <w:vAlign w:val="bottom"/>
          </w:tcPr>
          <w:p>
            <w:pPr>
              <w:spacing w:after="0" w:line="240" w:lineRule="auto"/>
              <w:ind w:left="77"/>
              <w:jc w:val="center"/>
              <w:rPr>
                <w:rFonts w:ascii="微软雅黑" w:hAnsi="微软雅黑" w:eastAsia="微软雅黑"/>
              </w:rPr>
            </w:pPr>
            <w:r>
              <w:rPr>
                <w:rFonts w:hint="eastAsia" w:ascii="微软雅黑" w:hAnsi="微软雅黑" w:eastAsia="微软雅黑"/>
                <w:sz w:val="24"/>
              </w:rPr>
              <w:t>武汉星巡智能科技有限公司</w:t>
            </w:r>
          </w:p>
        </w:tc>
      </w:tr>
    </w:tbl>
    <w:p>
      <w:pPr>
        <w:spacing w:after="149"/>
        <w:ind w:left="973"/>
        <w:jc w:val="center"/>
        <w:rPr>
          <w:rFonts w:ascii="微软雅黑" w:hAnsi="微软雅黑" w:eastAsia="微软雅黑"/>
        </w:rPr>
      </w:pPr>
      <w:r>
        <w:rPr>
          <w:rFonts w:ascii="微软雅黑" w:hAnsi="微软雅黑" w:eastAsia="微软雅黑" w:cs="微软雅黑"/>
          <w:sz w:val="36"/>
        </w:rPr>
        <w:t xml:space="preserve"> </w:t>
      </w:r>
    </w:p>
    <w:p>
      <w:r>
        <w:br w:type="page"/>
      </w:r>
    </w:p>
    <w:p>
      <w:pPr>
        <w:pStyle w:val="3"/>
        <w:spacing w:after="139"/>
        <w:ind w:right="2685"/>
      </w:pPr>
      <w:r>
        <w:t xml:space="preserve">4.教师及课程基本情况表 </w:t>
      </w:r>
    </w:p>
    <w:p>
      <w:pPr>
        <w:spacing w:after="0"/>
        <w:ind w:left="72" w:hanging="10"/>
        <w:rPr>
          <w:rFonts w:ascii="微软雅黑" w:hAnsi="微软雅黑" w:eastAsia="微软雅黑"/>
        </w:rPr>
      </w:pPr>
      <w:r>
        <w:rPr>
          <w:rFonts w:ascii="微软雅黑" w:hAnsi="微软雅黑" w:eastAsia="微软雅黑" w:cs="微软雅黑"/>
          <w:sz w:val="28"/>
        </w:rPr>
        <w:t>4.1教师及开课情况汇总表</w:t>
      </w:r>
      <w:r>
        <w:rPr>
          <w:rFonts w:ascii="微软雅黑" w:hAnsi="微软雅黑" w:eastAsia="微软雅黑" w:cs="微软雅黑"/>
          <w:sz w:val="24"/>
        </w:rPr>
        <w:t xml:space="preserve">（以下统计数据由系统生成） </w:t>
      </w:r>
    </w:p>
    <w:tbl>
      <w:tblPr>
        <w:tblStyle w:val="14"/>
        <w:tblW w:w="9573" w:type="dxa"/>
        <w:tblInd w:w="-31" w:type="dxa"/>
        <w:tblLayout w:type="fixed"/>
        <w:tblCellMar>
          <w:top w:w="110" w:type="dxa"/>
          <w:left w:w="293" w:type="dxa"/>
          <w:bottom w:w="0" w:type="dxa"/>
          <w:right w:w="115" w:type="dxa"/>
        </w:tblCellMar>
      </w:tblPr>
      <w:tblGrid>
        <w:gridCol w:w="6346"/>
        <w:gridCol w:w="3227"/>
      </w:tblGrid>
      <w:tr>
        <w:tblPrEx>
          <w:tblLayout w:type="fixed"/>
          <w:tblCellMar>
            <w:top w:w="110" w:type="dxa"/>
            <w:left w:w="293" w:type="dxa"/>
            <w:bottom w:w="0" w:type="dxa"/>
            <w:right w:w="115" w:type="dxa"/>
          </w:tblCellMar>
        </w:tblPrEx>
        <w:trPr>
          <w:trHeight w:val="408"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7"/>
              <w:jc w:val="center"/>
              <w:rPr>
                <w:rFonts w:ascii="微软雅黑" w:hAnsi="微软雅黑" w:eastAsia="微软雅黑"/>
              </w:rPr>
            </w:pPr>
            <w:r>
              <w:rPr>
                <w:rFonts w:ascii="微软雅黑" w:hAnsi="微软雅黑" w:eastAsia="微软雅黑" w:cs="微软雅黑"/>
                <w:sz w:val="24"/>
              </w:rPr>
              <w:t>专任教师总数</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hint="eastAsia" w:ascii="微软雅黑" w:hAnsi="微软雅黑" w:eastAsia="微软雅黑" w:cs="Times New Roman"/>
                <w:szCs w:val="21"/>
              </w:rPr>
              <w:t>24</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9"/>
              <w:jc w:val="center"/>
              <w:rPr>
                <w:rFonts w:ascii="微软雅黑" w:hAnsi="微软雅黑" w:eastAsia="微软雅黑"/>
              </w:rPr>
            </w:pPr>
            <w:r>
              <w:rPr>
                <w:rFonts w:ascii="微软雅黑" w:hAnsi="微软雅黑" w:eastAsia="微软雅黑" w:cs="微软雅黑"/>
                <w:sz w:val="24"/>
              </w:rPr>
              <w:t>具有教授（含其他正高级）职称教师数及比例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hint="eastAsia" w:ascii="微软雅黑" w:hAnsi="微软雅黑" w:eastAsia="微软雅黑" w:cs="Times New Roman"/>
                <w:sz w:val="24"/>
              </w:rPr>
              <w:t>20.83%</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rPr>
                <w:rFonts w:ascii="微软雅黑" w:hAnsi="微软雅黑" w:eastAsia="微软雅黑"/>
              </w:rPr>
            </w:pPr>
            <w:r>
              <w:rPr>
                <w:rFonts w:ascii="微软雅黑" w:hAnsi="微软雅黑" w:eastAsia="微软雅黑" w:cs="微软雅黑"/>
                <w:sz w:val="24"/>
              </w:rPr>
              <w:t>具有副教授及以上（含其他副高级）职称教师数及比例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ascii="微软雅黑" w:hAnsi="微软雅黑" w:eastAsia="微软雅黑" w:cs="Times New Roman"/>
                <w:sz w:val="24"/>
              </w:rPr>
              <w:t xml:space="preserve"> </w:t>
            </w:r>
            <w:r>
              <w:rPr>
                <w:rFonts w:hint="eastAsia" w:ascii="微软雅黑" w:hAnsi="微软雅黑" w:eastAsia="微软雅黑" w:cs="Times New Roman"/>
                <w:sz w:val="24"/>
              </w:rPr>
              <w:t>87.5%</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8"/>
              <w:jc w:val="center"/>
              <w:rPr>
                <w:rFonts w:ascii="微软雅黑" w:hAnsi="微软雅黑" w:eastAsia="微软雅黑"/>
              </w:rPr>
            </w:pPr>
            <w:r>
              <w:rPr>
                <w:rFonts w:ascii="微软雅黑" w:hAnsi="微软雅黑" w:eastAsia="微软雅黑" w:cs="微软雅黑"/>
                <w:sz w:val="24"/>
              </w:rPr>
              <w:t>具有硕士及以上学位教师数及比例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ascii="微软雅黑" w:hAnsi="微软雅黑" w:eastAsia="微软雅黑" w:cs="Times New Roman"/>
                <w:sz w:val="24"/>
              </w:rPr>
              <w:t xml:space="preserve"> </w:t>
            </w:r>
            <w:r>
              <w:rPr>
                <w:rFonts w:hint="eastAsia" w:ascii="微软雅黑" w:hAnsi="微软雅黑" w:eastAsia="微软雅黑" w:cs="Times New Roman"/>
                <w:sz w:val="24"/>
              </w:rPr>
              <w:t>100%</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8"/>
              <w:jc w:val="center"/>
              <w:rPr>
                <w:rFonts w:ascii="微软雅黑" w:hAnsi="微软雅黑" w:eastAsia="微软雅黑"/>
              </w:rPr>
            </w:pPr>
            <w:r>
              <w:rPr>
                <w:rFonts w:ascii="微软雅黑" w:hAnsi="微软雅黑" w:eastAsia="微软雅黑" w:cs="微软雅黑"/>
                <w:sz w:val="24"/>
              </w:rPr>
              <w:t>具有博士学位教师数及比例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hint="eastAsia" w:ascii="微软雅黑" w:hAnsi="微软雅黑" w:eastAsia="微软雅黑" w:cs="Times New Roman"/>
                <w:sz w:val="24"/>
              </w:rPr>
              <w:t>83.33%</w:t>
            </w:r>
            <w:r>
              <w:rPr>
                <w:rFonts w:ascii="微软雅黑" w:hAnsi="微软雅黑" w:eastAsia="微软雅黑" w:cs="Times New Roman"/>
                <w:sz w:val="24"/>
              </w:rPr>
              <w:t xml:space="preserve"> </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80"/>
              <w:jc w:val="center"/>
              <w:rPr>
                <w:rFonts w:ascii="微软雅黑" w:hAnsi="微软雅黑" w:eastAsia="微软雅黑"/>
              </w:rPr>
            </w:pPr>
            <w:r>
              <w:rPr>
                <w:rFonts w:ascii="微软雅黑" w:hAnsi="微软雅黑" w:eastAsia="微软雅黑" w:cs="Times New Roman"/>
                <w:sz w:val="24"/>
              </w:rPr>
              <w:t xml:space="preserve">35 </w:t>
            </w:r>
            <w:r>
              <w:rPr>
                <w:rFonts w:ascii="微软雅黑" w:hAnsi="微软雅黑" w:eastAsia="微软雅黑" w:cs="微软雅黑"/>
                <w:sz w:val="24"/>
              </w:rPr>
              <w:t>岁及以下青年教师数及比例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hint="eastAsia" w:ascii="微软雅黑" w:hAnsi="微软雅黑" w:eastAsia="微软雅黑" w:cs="Times New Roman"/>
                <w:sz w:val="24"/>
              </w:rPr>
              <w:t>12.5%</w:t>
            </w:r>
            <w:r>
              <w:rPr>
                <w:rFonts w:ascii="微软雅黑" w:hAnsi="微软雅黑" w:eastAsia="微软雅黑" w:cs="Times New Roman"/>
                <w:sz w:val="24"/>
              </w:rPr>
              <w:t xml:space="preserve"> </w:t>
            </w:r>
          </w:p>
        </w:tc>
      </w:tr>
      <w:tr>
        <w:tblPrEx>
          <w:tblLayout w:type="fixed"/>
          <w:tblCellMar>
            <w:top w:w="110" w:type="dxa"/>
            <w:left w:w="293" w:type="dxa"/>
            <w:bottom w:w="0" w:type="dxa"/>
            <w:right w:w="115" w:type="dxa"/>
          </w:tblCellMar>
        </w:tblPrEx>
        <w:trPr>
          <w:trHeight w:val="409"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8"/>
              <w:jc w:val="center"/>
              <w:rPr>
                <w:rFonts w:ascii="微软雅黑" w:hAnsi="微软雅黑" w:eastAsia="微软雅黑"/>
              </w:rPr>
            </w:pPr>
            <w:r>
              <w:rPr>
                <w:rFonts w:ascii="微软雅黑" w:hAnsi="微软雅黑" w:eastAsia="微软雅黑" w:cs="Times New Roman"/>
                <w:sz w:val="24"/>
              </w:rPr>
              <w:t xml:space="preserve">36-55 </w:t>
            </w:r>
            <w:r>
              <w:rPr>
                <w:rFonts w:ascii="微软雅黑" w:hAnsi="微软雅黑" w:eastAsia="微软雅黑" w:cs="微软雅黑"/>
                <w:sz w:val="24"/>
              </w:rPr>
              <w:t>岁教师数及比例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hint="eastAsia" w:ascii="微软雅黑" w:hAnsi="微软雅黑" w:eastAsia="微软雅黑" w:cs="Times New Roman"/>
                <w:sz w:val="24"/>
              </w:rPr>
              <w:t>87.5%</w:t>
            </w:r>
            <w:r>
              <w:rPr>
                <w:rFonts w:ascii="微软雅黑" w:hAnsi="微软雅黑" w:eastAsia="微软雅黑" w:cs="Times New Roman"/>
                <w:sz w:val="24"/>
              </w:rPr>
              <w:t xml:space="preserve"> </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8"/>
              <w:jc w:val="center"/>
              <w:rPr>
                <w:rFonts w:ascii="微软雅黑" w:hAnsi="微软雅黑" w:eastAsia="微软雅黑"/>
              </w:rPr>
            </w:pPr>
            <w:r>
              <w:rPr>
                <w:rFonts w:ascii="微软雅黑" w:hAnsi="微软雅黑" w:eastAsia="微软雅黑" w:cs="微软雅黑"/>
                <w:sz w:val="24"/>
              </w:rPr>
              <w:t>兼职</w:t>
            </w:r>
            <w:r>
              <w:rPr>
                <w:rFonts w:ascii="微软雅黑" w:hAnsi="微软雅黑" w:eastAsia="微软雅黑" w:cs="Times New Roman"/>
                <w:sz w:val="24"/>
              </w:rPr>
              <w:t>/</w:t>
            </w:r>
            <w:r>
              <w:rPr>
                <w:rFonts w:ascii="微软雅黑" w:hAnsi="微软雅黑" w:eastAsia="微软雅黑" w:cs="微软雅黑"/>
                <w:sz w:val="24"/>
              </w:rPr>
              <w:t>专职教师比例</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hint="eastAsia" w:ascii="微软雅黑" w:hAnsi="微软雅黑" w:eastAsia="微软雅黑" w:cs="Times New Roman"/>
                <w:color w:val="FF0000"/>
                <w:sz w:val="24"/>
              </w:rPr>
              <w:t>100%</w:t>
            </w:r>
            <w:r>
              <w:rPr>
                <w:rFonts w:ascii="微软雅黑" w:hAnsi="微软雅黑" w:eastAsia="微软雅黑" w:cs="Times New Roman"/>
                <w:color w:val="FF0000"/>
                <w:sz w:val="24"/>
              </w:rPr>
              <w:t xml:space="preserve"> </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9"/>
              <w:jc w:val="center"/>
              <w:rPr>
                <w:rFonts w:ascii="微软雅黑" w:hAnsi="微软雅黑" w:eastAsia="微软雅黑"/>
              </w:rPr>
            </w:pPr>
            <w:r>
              <w:rPr>
                <w:rFonts w:ascii="微软雅黑" w:hAnsi="微软雅黑" w:eastAsia="微软雅黑" w:cs="微软雅黑"/>
                <w:sz w:val="24"/>
              </w:rPr>
              <w:t>专业核心课程门数</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hint="default" w:ascii="微软雅黑" w:hAnsi="微软雅黑" w:eastAsia="微软雅黑"/>
                <w:lang w:val="en-US" w:eastAsia="zh-CN"/>
              </w:rPr>
            </w:pPr>
            <w:r>
              <w:rPr>
                <w:rFonts w:ascii="微软雅黑" w:hAnsi="微软雅黑" w:eastAsia="微软雅黑" w:cs="Times New Roman"/>
                <w:sz w:val="24"/>
              </w:rPr>
              <w:t xml:space="preserve"> </w:t>
            </w:r>
            <w:r>
              <w:rPr>
                <w:rFonts w:hint="eastAsia" w:ascii="微软雅黑" w:hAnsi="微软雅黑" w:eastAsia="微软雅黑" w:cs="Times New Roman"/>
                <w:sz w:val="24"/>
                <w:lang w:val="en-US" w:eastAsia="zh-CN"/>
              </w:rPr>
              <w:t>23</w:t>
            </w:r>
          </w:p>
        </w:tc>
      </w:tr>
      <w:tr>
        <w:tblPrEx>
          <w:tblLayout w:type="fixed"/>
          <w:tblCellMar>
            <w:top w:w="110" w:type="dxa"/>
            <w:left w:w="293" w:type="dxa"/>
            <w:bottom w:w="0" w:type="dxa"/>
            <w:right w:w="115" w:type="dxa"/>
          </w:tblCellMar>
        </w:tblPrEx>
        <w:trPr>
          <w:trHeight w:val="410" w:hRule="atLeast"/>
        </w:trPr>
        <w:tc>
          <w:tcPr>
            <w:tcW w:w="6346" w:type="dxa"/>
            <w:tcBorders>
              <w:top w:val="single" w:color="000000" w:sz="4" w:space="0"/>
              <w:left w:val="single" w:color="000000" w:sz="4" w:space="0"/>
              <w:bottom w:val="single" w:color="000000" w:sz="4" w:space="0"/>
              <w:right w:val="single" w:color="000000" w:sz="4" w:space="0"/>
            </w:tcBorders>
          </w:tcPr>
          <w:p>
            <w:pPr>
              <w:spacing w:after="0" w:line="240" w:lineRule="auto"/>
              <w:ind w:right="178"/>
              <w:jc w:val="center"/>
              <w:rPr>
                <w:rFonts w:ascii="微软雅黑" w:hAnsi="微软雅黑" w:eastAsia="微软雅黑"/>
              </w:rPr>
            </w:pPr>
            <w:r>
              <w:rPr>
                <w:rFonts w:ascii="微软雅黑" w:hAnsi="微软雅黑" w:eastAsia="微软雅黑" w:cs="微软雅黑"/>
                <w:sz w:val="24"/>
              </w:rPr>
              <w:t>专业核心课程任课教师数（此项由学校填写）</w:t>
            </w:r>
            <w:r>
              <w:rPr>
                <w:rFonts w:ascii="微软雅黑" w:hAnsi="微软雅黑" w:eastAsia="微软雅黑" w:cs="Times New Roman"/>
                <w:sz w:val="24"/>
              </w:rPr>
              <w:t xml:space="preserve"> </w:t>
            </w:r>
          </w:p>
        </w:tc>
        <w:tc>
          <w:tcPr>
            <w:tcW w:w="3227" w:type="dxa"/>
            <w:tcBorders>
              <w:top w:val="single" w:color="000000" w:sz="4" w:space="0"/>
              <w:left w:val="single" w:color="000000" w:sz="4" w:space="0"/>
              <w:bottom w:val="single" w:color="000000" w:sz="4" w:space="0"/>
              <w:right w:val="single" w:color="000000" w:sz="4" w:space="0"/>
            </w:tcBorders>
          </w:tcPr>
          <w:p>
            <w:pPr>
              <w:spacing w:after="0" w:line="240" w:lineRule="auto"/>
              <w:ind w:right="117"/>
              <w:jc w:val="center"/>
              <w:rPr>
                <w:rFonts w:ascii="微软雅黑" w:hAnsi="微软雅黑" w:eastAsia="微软雅黑"/>
              </w:rPr>
            </w:pPr>
            <w:r>
              <w:rPr>
                <w:rFonts w:ascii="微软雅黑" w:hAnsi="微软雅黑" w:eastAsia="微软雅黑" w:cs="Times New Roman"/>
                <w:sz w:val="24"/>
              </w:rPr>
              <w:t xml:space="preserve"> </w:t>
            </w:r>
            <w:r>
              <w:rPr>
                <w:rFonts w:hint="eastAsia" w:ascii="微软雅黑" w:hAnsi="微软雅黑" w:eastAsia="微软雅黑" w:cs="Times New Roman"/>
                <w:sz w:val="24"/>
              </w:rPr>
              <w:t>24</w:t>
            </w:r>
          </w:p>
        </w:tc>
      </w:tr>
    </w:tbl>
    <w:p>
      <w:pPr>
        <w:spacing w:after="0"/>
        <w:ind w:left="72" w:hanging="10"/>
        <w:rPr>
          <w:rFonts w:ascii="微软雅黑" w:hAnsi="微软雅黑" w:eastAsia="微软雅黑" w:cs="微软雅黑"/>
          <w:sz w:val="24"/>
        </w:rPr>
      </w:pPr>
      <w:r>
        <w:rPr>
          <w:rFonts w:ascii="微软雅黑" w:hAnsi="微软雅黑" w:eastAsia="微软雅黑" w:cs="微软雅黑"/>
          <w:sz w:val="28"/>
        </w:rPr>
        <w:t>4.2教师基本情况表</w:t>
      </w:r>
      <w:r>
        <w:rPr>
          <w:rFonts w:ascii="微软雅黑" w:hAnsi="微软雅黑" w:eastAsia="微软雅黑" w:cs="微软雅黑"/>
          <w:sz w:val="24"/>
        </w:rPr>
        <w:t xml:space="preserve">（以下表格数据由学校填写） </w:t>
      </w:r>
    </w:p>
    <w:tbl>
      <w:tblPr>
        <w:tblStyle w:val="15"/>
        <w:tblW w:w="10460" w:type="dxa"/>
        <w:jc w:val="center"/>
        <w:tblInd w:w="0" w:type="dxa"/>
        <w:tblLayout w:type="fixed"/>
        <w:tblCellMar>
          <w:top w:w="68" w:type="dxa"/>
          <w:left w:w="51" w:type="dxa"/>
          <w:bottom w:w="0" w:type="dxa"/>
          <w:right w:w="51" w:type="dxa"/>
        </w:tblCellMar>
      </w:tblPr>
      <w:tblGrid>
        <w:gridCol w:w="837"/>
        <w:gridCol w:w="523"/>
        <w:gridCol w:w="523"/>
        <w:gridCol w:w="1945"/>
        <w:gridCol w:w="992"/>
        <w:gridCol w:w="1456"/>
        <w:gridCol w:w="1232"/>
        <w:gridCol w:w="860"/>
        <w:gridCol w:w="1272"/>
        <w:gridCol w:w="820"/>
      </w:tblGrid>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姓名</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性别</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年龄</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拟任课程</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专业技术职务</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最后学历毕业学校</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最后学历毕业专业</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最后学历毕业学位</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62"/>
              <w:jc w:val="center"/>
              <w:rPr>
                <w:rFonts w:ascii="微软雅黑" w:hAnsi="微软雅黑" w:eastAsia="微软雅黑" w:cs="仿宋"/>
                <w:kern w:val="2"/>
                <w:sz w:val="21"/>
                <w:szCs w:val="21"/>
              </w:rPr>
            </w:pPr>
            <w:r>
              <w:rPr>
                <w:rFonts w:ascii="微软雅黑" w:hAnsi="微软雅黑" w:eastAsia="微软雅黑" w:cs="仿宋"/>
                <w:kern w:val="2"/>
                <w:sz w:val="21"/>
                <w:szCs w:val="21"/>
              </w:rPr>
              <w:t>研究领域</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12"/>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专职/兼职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张彦铎</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48</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人工智能</w:t>
            </w:r>
            <w:r>
              <w:rPr>
                <w:rFonts w:hint="eastAsia" w:ascii="微软雅黑" w:hAnsi="微软雅黑" w:eastAsia="微软雅黑" w:cs="仿宋"/>
                <w:kern w:val="2"/>
                <w:sz w:val="21"/>
                <w:szCs w:val="21"/>
              </w:rPr>
              <w:t>导论</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哈尔滨工业大学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FF0000"/>
                <w:kern w:val="2"/>
                <w:sz w:val="21"/>
                <w:szCs w:val="21"/>
              </w:rPr>
            </w:pPr>
            <w:r>
              <w:rPr>
                <w:rFonts w:ascii="微软雅黑" w:hAnsi="微软雅黑" w:eastAsia="微软雅黑" w:cs="仿宋"/>
                <w:color w:val="FF0000"/>
                <w:kern w:val="2"/>
                <w:sz w:val="21"/>
                <w:szCs w:val="21"/>
              </w:rPr>
              <w:t>飞行器设计</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人工智能</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吴云韬</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46</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计算机组成原理</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西安电子科技大学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FF0000"/>
                <w:kern w:val="2"/>
                <w:sz w:val="21"/>
                <w:szCs w:val="21"/>
              </w:rPr>
            </w:pPr>
            <w:r>
              <w:rPr>
                <w:rFonts w:ascii="微软雅黑" w:hAnsi="微软雅黑" w:eastAsia="微软雅黑" w:cs="仿宋"/>
                <w:color w:val="FF0000"/>
                <w:kern w:val="2"/>
                <w:sz w:val="21"/>
                <w:szCs w:val="21"/>
              </w:rPr>
              <w:t>信息与通信</w:t>
            </w:r>
            <w:r>
              <w:rPr>
                <w:rFonts w:hint="eastAsia" w:ascii="微软雅黑" w:hAnsi="微软雅黑" w:eastAsia="微软雅黑" w:cs="仿宋"/>
                <w:color w:val="FF0000"/>
                <w:kern w:val="2"/>
                <w:sz w:val="21"/>
                <w:szCs w:val="21"/>
              </w:rPr>
              <w:t>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信号处理</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王海晖</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5</w:t>
            </w:r>
            <w:r>
              <w:rPr>
                <w:rFonts w:ascii="微软雅黑" w:hAnsi="微软雅黑" w:eastAsia="微软雅黑" w:cs="仿宋"/>
                <w:kern w:val="2"/>
                <w:sz w:val="21"/>
                <w:szCs w:val="21"/>
              </w:rPr>
              <w:t>0</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color w:val="FF0000"/>
                <w:kern w:val="2"/>
                <w:sz w:val="21"/>
                <w:szCs w:val="21"/>
              </w:rPr>
            </w:pPr>
            <w:r>
              <w:rPr>
                <w:rFonts w:hint="eastAsia" w:ascii="微软雅黑" w:hAnsi="微软雅黑" w:eastAsia="微软雅黑" w:cs="仿宋"/>
                <w:color w:val="FF0000"/>
                <w:kern w:val="2"/>
                <w:sz w:val="21"/>
                <w:szCs w:val="21"/>
              </w:rPr>
              <w:t>面向对象程序设计</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模式识别与智能系统</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数字图像处理</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何成万</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5</w:t>
            </w:r>
            <w:r>
              <w:rPr>
                <w:rFonts w:ascii="微软雅黑" w:hAnsi="微软雅黑" w:eastAsia="微软雅黑" w:cs="仿宋"/>
                <w:kern w:val="2"/>
                <w:sz w:val="21"/>
                <w:szCs w:val="21"/>
              </w:rPr>
              <w:t>2</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软件</w:t>
            </w:r>
            <w:r>
              <w:rPr>
                <w:rFonts w:hint="eastAsia" w:ascii="微软雅黑" w:hAnsi="微软雅黑" w:eastAsia="微软雅黑" w:cs="仿宋"/>
                <w:kern w:val="2"/>
                <w:sz w:val="21"/>
                <w:szCs w:val="21"/>
              </w:rPr>
              <w:t>工程</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武汉大学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软件工程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软件</w:t>
            </w:r>
            <w:r>
              <w:rPr>
                <w:rFonts w:hint="eastAsia" w:ascii="微软雅黑" w:hAnsi="微软雅黑" w:eastAsia="微软雅黑" w:cs="仿宋"/>
                <w:kern w:val="2"/>
                <w:sz w:val="21"/>
                <w:szCs w:val="21"/>
              </w:rPr>
              <w:t>工程</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吕涛</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111"/>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111"/>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3</w:t>
            </w:r>
            <w:r>
              <w:rPr>
                <w:rFonts w:ascii="微软雅黑" w:hAnsi="微软雅黑" w:eastAsia="微软雅黑" w:cs="仿宋"/>
                <w:color w:val="auto"/>
                <w:kern w:val="2"/>
                <w:sz w:val="21"/>
                <w:szCs w:val="21"/>
              </w:rPr>
              <w:t>6</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计算机程序设计基础</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武汉工程大学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计算机科学与技术</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硕士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软件</w:t>
            </w:r>
            <w:r>
              <w:rPr>
                <w:rFonts w:hint="eastAsia" w:ascii="微软雅黑" w:hAnsi="微软雅黑" w:eastAsia="微软雅黑" w:cs="仿宋"/>
                <w:color w:val="auto"/>
                <w:kern w:val="2"/>
                <w:sz w:val="21"/>
                <w:szCs w:val="21"/>
              </w:rPr>
              <w:t>工程</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黄文芝</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111"/>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女</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111"/>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1</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color w:val="FF0000"/>
                <w:kern w:val="2"/>
                <w:sz w:val="21"/>
                <w:szCs w:val="21"/>
              </w:rPr>
              <w:t>离散数学</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计算数学</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人工智能</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姚峰</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2</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操作系统</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武汉工程大学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计算机科学</w:t>
            </w:r>
            <w:r>
              <w:rPr>
                <w:rFonts w:hint="eastAsia" w:ascii="微软雅黑" w:hAnsi="微软雅黑" w:eastAsia="微软雅黑" w:cs="仿宋"/>
                <w:kern w:val="2"/>
                <w:sz w:val="21"/>
                <w:szCs w:val="21"/>
              </w:rPr>
              <w:t>与技术</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硕士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软件</w:t>
            </w:r>
            <w:r>
              <w:rPr>
                <w:rFonts w:hint="eastAsia" w:ascii="微软雅黑" w:hAnsi="微软雅黑" w:eastAsia="微软雅黑" w:cs="仿宋"/>
                <w:kern w:val="2"/>
                <w:sz w:val="21"/>
                <w:szCs w:val="21"/>
              </w:rPr>
              <w:t>工程</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张俊</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44</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数据结构</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color w:val="FF0000"/>
                <w:kern w:val="2"/>
                <w:sz w:val="21"/>
                <w:szCs w:val="21"/>
              </w:rPr>
              <w:t>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ind w:left="72"/>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机械电子工程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硕士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算法设计</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徐银霞</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女</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0</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数字逻辑</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模式识别与智能系统</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硕士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目标检测及识别</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郑更生</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5</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计算机网络</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计算机科学与技术</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计算机网络</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闵峰</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43</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机器学习</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模式识别与智能系统</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目标检测及识别</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黄巍</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44</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算法设计与分析</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计算机科学与技术</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优化计算</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陈灯</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33</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最优化方法</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讲师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计算机科学与技术</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优化计算</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周华兵</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36</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智能机器人</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控制科学与工程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视频识别</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4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孙爱蓉</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女</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4</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机器视觉与应用</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武汉理工大学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机械设计及理论</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硕士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图像处理</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卢涛</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39</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模式识别</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武汉大学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通信与信息系统</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hint="eastAsia" w:ascii="微软雅黑" w:hAnsi="微软雅黑" w:eastAsia="微软雅黑" w:cs="仿宋"/>
                <w:color w:val="auto"/>
                <w:kern w:val="2"/>
                <w:sz w:val="21"/>
                <w:szCs w:val="21"/>
              </w:rPr>
              <w:t>高分图像处理</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color w:val="auto"/>
                <w:kern w:val="2"/>
                <w:sz w:val="21"/>
                <w:szCs w:val="21"/>
              </w:rPr>
            </w:pPr>
            <w:r>
              <w:rPr>
                <w:rFonts w:ascii="微软雅黑" w:hAnsi="微软雅黑" w:eastAsia="微软雅黑" w:cs="仿宋"/>
                <w:color w:val="auto"/>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刘昌晖</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5</w:t>
            </w:r>
            <w:r>
              <w:rPr>
                <w:rFonts w:ascii="微软雅黑" w:hAnsi="微软雅黑" w:eastAsia="微软雅黑" w:cs="仿宋"/>
                <w:kern w:val="2"/>
                <w:sz w:val="21"/>
                <w:szCs w:val="21"/>
              </w:rPr>
              <w:t>3</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嵌入式智能系统</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电子科学与技术专业</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智能控制系统</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曾祥进</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2</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工业机器人技术</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控制科学与工程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智能控制系统</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李晖</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3</w:t>
            </w:r>
            <w:r>
              <w:rPr>
                <w:rFonts w:ascii="微软雅黑" w:hAnsi="微软雅黑" w:eastAsia="微软雅黑" w:cs="仿宋"/>
                <w:kern w:val="2"/>
                <w:sz w:val="21"/>
                <w:szCs w:val="21"/>
              </w:rPr>
              <w:t>9</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color w:val="FF0000"/>
                <w:kern w:val="2"/>
                <w:sz w:val="21"/>
                <w:szCs w:val="21"/>
              </w:rPr>
              <w:t>虚拟现实技术</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控制科学与工程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虚拟现实</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朱锐</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3</w:t>
            </w:r>
            <w:r>
              <w:rPr>
                <w:rFonts w:ascii="微软雅黑" w:hAnsi="微软雅黑" w:eastAsia="微软雅黑" w:cs="仿宋"/>
                <w:kern w:val="2"/>
                <w:sz w:val="21"/>
                <w:szCs w:val="21"/>
              </w:rPr>
              <w:t>4</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数据挖掘与大数据应用</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讲师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计算机系统结构</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数据挖掘</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赵彤洲</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女</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9</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智能计算</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控制科学与工程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智能计算</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刘玮</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女</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0</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自然语言理解</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武汉大学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软件工程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文本分析</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鲁统伟</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男</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4</w:t>
            </w:r>
            <w:r>
              <w:rPr>
                <w:rFonts w:ascii="微软雅黑" w:hAnsi="微软雅黑" w:eastAsia="微软雅黑" w:cs="仿宋"/>
                <w:kern w:val="2"/>
                <w:sz w:val="21"/>
                <w:szCs w:val="21"/>
              </w:rPr>
              <w:t>0</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智能机器人系统</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副教授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控制科学与工程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多智能体机器人</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r>
        <w:tblPrEx>
          <w:tblLayout w:type="fixed"/>
          <w:tblCellMar>
            <w:top w:w="68" w:type="dxa"/>
            <w:left w:w="51" w:type="dxa"/>
            <w:bottom w:w="0" w:type="dxa"/>
            <w:right w:w="51" w:type="dxa"/>
          </w:tblCellMar>
        </w:tblPrEx>
        <w:trPr>
          <w:trHeight w:val="680" w:hRule="atLeast"/>
          <w:jc w:val="center"/>
        </w:trPr>
        <w:tc>
          <w:tcPr>
            <w:tcW w:w="83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徐文霞</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女</w:t>
            </w:r>
          </w:p>
        </w:tc>
        <w:tc>
          <w:tcPr>
            <w:tcW w:w="5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3</w:t>
            </w:r>
            <w:r>
              <w:rPr>
                <w:rFonts w:ascii="微软雅黑" w:hAnsi="微软雅黑" w:eastAsia="微软雅黑" w:cs="仿宋"/>
                <w:kern w:val="2"/>
                <w:sz w:val="21"/>
                <w:szCs w:val="21"/>
              </w:rPr>
              <w:t>3</w:t>
            </w:r>
          </w:p>
        </w:tc>
        <w:tc>
          <w:tcPr>
            <w:tcW w:w="194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智能传感器技术</w:t>
            </w:r>
          </w:p>
        </w:tc>
        <w:tc>
          <w:tcPr>
            <w:tcW w:w="99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讲师</w:t>
            </w:r>
          </w:p>
        </w:tc>
        <w:tc>
          <w:tcPr>
            <w:tcW w:w="14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华中科技大学</w:t>
            </w:r>
          </w:p>
        </w:tc>
        <w:tc>
          <w:tcPr>
            <w:tcW w:w="123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控制科学与工程</w:t>
            </w:r>
          </w:p>
        </w:tc>
        <w:tc>
          <w:tcPr>
            <w:tcW w:w="8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博士</w:t>
            </w:r>
          </w:p>
        </w:tc>
        <w:tc>
          <w:tcPr>
            <w:tcW w:w="12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hint="eastAsia" w:ascii="微软雅黑" w:hAnsi="微软雅黑" w:eastAsia="微软雅黑" w:cs="仿宋"/>
                <w:kern w:val="2"/>
                <w:sz w:val="21"/>
                <w:szCs w:val="21"/>
              </w:rPr>
              <w:t>机器人控制</w:t>
            </w:r>
          </w:p>
        </w:tc>
        <w:tc>
          <w:tcPr>
            <w:tcW w:w="82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0" w:line="240" w:lineRule="auto"/>
              <w:jc w:val="center"/>
              <w:rPr>
                <w:rFonts w:ascii="微软雅黑" w:hAnsi="微软雅黑" w:eastAsia="微软雅黑" w:cs="仿宋"/>
                <w:kern w:val="2"/>
                <w:sz w:val="21"/>
                <w:szCs w:val="21"/>
              </w:rPr>
            </w:pPr>
            <w:r>
              <w:rPr>
                <w:rFonts w:ascii="微软雅黑" w:hAnsi="微软雅黑" w:eastAsia="微软雅黑" w:cs="仿宋"/>
                <w:kern w:val="2"/>
                <w:sz w:val="21"/>
                <w:szCs w:val="21"/>
              </w:rPr>
              <w:t>专职</w:t>
            </w:r>
          </w:p>
        </w:tc>
      </w:tr>
    </w:tbl>
    <w:p>
      <w:pPr>
        <w:spacing w:after="0"/>
        <w:ind w:left="72" w:hanging="10"/>
        <w:rPr>
          <w:rFonts w:ascii="微软雅黑" w:hAnsi="微软雅黑" w:eastAsia="微软雅黑" w:cs="微软雅黑"/>
          <w:sz w:val="24"/>
        </w:rPr>
      </w:pPr>
    </w:p>
    <w:p>
      <w:pPr>
        <w:spacing w:after="0"/>
        <w:ind w:left="72" w:hanging="10"/>
        <w:rPr>
          <w:rFonts w:ascii="微软雅黑" w:hAnsi="微软雅黑" w:eastAsia="微软雅黑" w:cs="微软雅黑"/>
          <w:sz w:val="24"/>
        </w:rPr>
      </w:pPr>
    </w:p>
    <w:p>
      <w:pPr>
        <w:spacing w:after="0"/>
        <w:ind w:left="72" w:hanging="10"/>
        <w:rPr>
          <w:rFonts w:ascii="微软雅黑" w:hAnsi="微软雅黑" w:eastAsia="微软雅黑" w:cs="微软雅黑"/>
          <w:sz w:val="24"/>
        </w:rPr>
      </w:pPr>
    </w:p>
    <w:p>
      <w:pPr>
        <w:spacing w:after="0"/>
        <w:ind w:left="72" w:hanging="10"/>
        <w:rPr>
          <w:rFonts w:ascii="微软雅黑" w:hAnsi="微软雅黑" w:eastAsia="微软雅黑" w:cs="微软雅黑"/>
          <w:sz w:val="24"/>
        </w:rPr>
      </w:pPr>
    </w:p>
    <w:p>
      <w:pPr>
        <w:spacing w:after="0"/>
        <w:ind w:left="72" w:hanging="10"/>
        <w:rPr>
          <w:rFonts w:ascii="微软雅黑" w:hAnsi="微软雅黑" w:eastAsia="微软雅黑" w:cs="微软雅黑"/>
          <w:sz w:val="28"/>
        </w:rPr>
      </w:pPr>
    </w:p>
    <w:p>
      <w:pPr>
        <w:spacing w:after="0"/>
        <w:ind w:left="72" w:hanging="10"/>
        <w:rPr>
          <w:rFonts w:ascii="微软雅黑" w:hAnsi="微软雅黑" w:eastAsia="微软雅黑" w:cs="微软雅黑"/>
          <w:sz w:val="24"/>
        </w:rPr>
      </w:pPr>
      <w:r>
        <w:rPr>
          <w:rFonts w:ascii="微软雅黑" w:hAnsi="微软雅黑" w:eastAsia="微软雅黑" w:cs="微软雅黑"/>
          <w:sz w:val="28"/>
        </w:rPr>
        <w:t>4.3专业核心课程表</w:t>
      </w:r>
      <w:r>
        <w:rPr>
          <w:rFonts w:ascii="微软雅黑" w:hAnsi="微软雅黑" w:eastAsia="微软雅黑" w:cs="微软雅黑"/>
          <w:sz w:val="24"/>
        </w:rPr>
        <w:t xml:space="preserve">（以下表格数据由学校填写） </w:t>
      </w:r>
    </w:p>
    <w:p>
      <w:pPr>
        <w:spacing w:after="0"/>
        <w:ind w:left="72" w:hanging="10"/>
        <w:rPr>
          <w:rFonts w:ascii="微软雅黑" w:hAnsi="微软雅黑" w:eastAsia="微软雅黑" w:cs="微软雅黑"/>
          <w:sz w:val="24"/>
        </w:rPr>
      </w:pPr>
    </w:p>
    <w:tbl>
      <w:tblPr>
        <w:tblStyle w:val="14"/>
        <w:tblW w:w="9573" w:type="dxa"/>
        <w:tblInd w:w="-31" w:type="dxa"/>
        <w:tblLayout w:type="fixed"/>
        <w:tblCellMar>
          <w:top w:w="0" w:type="dxa"/>
          <w:left w:w="166" w:type="dxa"/>
          <w:bottom w:w="49" w:type="dxa"/>
          <w:right w:w="113" w:type="dxa"/>
        </w:tblCellMar>
      </w:tblPr>
      <w:tblGrid>
        <w:gridCol w:w="3995"/>
        <w:gridCol w:w="1134"/>
        <w:gridCol w:w="1134"/>
        <w:gridCol w:w="2011"/>
        <w:gridCol w:w="1299"/>
      </w:tblGrid>
      <w:tr>
        <w:tblPrEx>
          <w:tblLayout w:type="fixed"/>
          <w:tblCellMar>
            <w:top w:w="0" w:type="dxa"/>
            <w:left w:w="166" w:type="dxa"/>
            <w:bottom w:w="49" w:type="dxa"/>
            <w:right w:w="113" w:type="dxa"/>
          </w:tblCellMar>
        </w:tblPrEx>
        <w:trPr>
          <w:trHeight w:val="862"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right="53"/>
              <w:jc w:val="center"/>
              <w:rPr>
                <w:rFonts w:ascii="微软雅黑" w:hAnsi="微软雅黑" w:eastAsia="微软雅黑"/>
              </w:rPr>
            </w:pPr>
            <w:r>
              <w:rPr>
                <w:rFonts w:ascii="微软雅黑" w:hAnsi="微软雅黑" w:eastAsia="微软雅黑" w:cs="微软雅黑"/>
                <w:sz w:val="24"/>
              </w:rPr>
              <w:t>课程名称</w:t>
            </w:r>
            <w:r>
              <w:rPr>
                <w:rFonts w:ascii="微软雅黑" w:hAnsi="微软雅黑" w:eastAsia="微软雅黑" w:cs="Times New Roman"/>
                <w:sz w:val="24"/>
              </w:rPr>
              <w:t xml:space="preserve"> </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rPr>
            </w:pPr>
            <w:r>
              <w:rPr>
                <w:rFonts w:ascii="微软雅黑" w:hAnsi="微软雅黑" w:eastAsia="微软雅黑" w:cs="微软雅黑"/>
                <w:sz w:val="24"/>
              </w:rPr>
              <w:t>课程总学时</w:t>
            </w:r>
            <w:r>
              <w:rPr>
                <w:rFonts w:ascii="微软雅黑" w:hAnsi="微软雅黑" w:eastAsia="微软雅黑" w:cs="Times New Roman"/>
                <w:sz w:val="24"/>
              </w:rPr>
              <w:t xml:space="preserve"> </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rPr>
            </w:pPr>
            <w:r>
              <w:rPr>
                <w:rFonts w:ascii="微软雅黑" w:hAnsi="微软雅黑" w:eastAsia="微软雅黑" w:cs="微软雅黑"/>
                <w:sz w:val="24"/>
              </w:rPr>
              <w:t>课程周学时</w:t>
            </w:r>
            <w:r>
              <w:rPr>
                <w:rFonts w:ascii="微软雅黑" w:hAnsi="微软雅黑" w:eastAsia="微软雅黑" w:cs="Times New Roman"/>
                <w:sz w:val="24"/>
              </w:rPr>
              <w:t xml:space="preserve"> </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right="58"/>
              <w:jc w:val="center"/>
              <w:rPr>
                <w:rFonts w:ascii="微软雅黑" w:hAnsi="微软雅黑" w:eastAsia="微软雅黑"/>
              </w:rPr>
            </w:pPr>
            <w:r>
              <w:rPr>
                <w:rFonts w:ascii="微软雅黑" w:hAnsi="微软雅黑" w:eastAsia="微软雅黑" w:cs="微软雅黑"/>
                <w:sz w:val="24"/>
              </w:rPr>
              <w:t>拟授课教师</w:t>
            </w:r>
            <w:r>
              <w:rPr>
                <w:rFonts w:ascii="微软雅黑" w:hAnsi="微软雅黑" w:eastAsia="微软雅黑" w:cs="Times New Roman"/>
                <w:sz w:val="24"/>
              </w:rPr>
              <w:t xml:space="preserve"> </w:t>
            </w:r>
          </w:p>
        </w:tc>
        <w:tc>
          <w:tcPr>
            <w:tcW w:w="129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微软雅黑" w:hAnsi="微软雅黑" w:eastAsia="微软雅黑"/>
              </w:rPr>
            </w:pPr>
            <w:r>
              <w:rPr>
                <w:rFonts w:ascii="微软雅黑" w:hAnsi="微软雅黑" w:eastAsia="微软雅黑" w:cs="微软雅黑"/>
                <w:sz w:val="24"/>
              </w:rPr>
              <w:t>授课学期</w:t>
            </w:r>
            <w:r>
              <w:rPr>
                <w:rFonts w:ascii="微软雅黑" w:hAnsi="微软雅黑" w:eastAsia="微软雅黑" w:cs="Times New Roman"/>
                <w:sz w:val="24"/>
              </w:rPr>
              <w:t xml:space="preserve"> </w:t>
            </w:r>
          </w:p>
        </w:tc>
      </w:tr>
      <w:tr>
        <w:tblPrEx>
          <w:tblLayout w:type="fixed"/>
          <w:tblCellMar>
            <w:top w:w="0" w:type="dxa"/>
            <w:left w:w="166" w:type="dxa"/>
            <w:bottom w:w="49" w:type="dxa"/>
            <w:right w:w="113" w:type="dxa"/>
          </w:tblCellMar>
        </w:tblPrEx>
        <w:trPr>
          <w:trHeight w:val="492"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rPr>
            </w:pPr>
            <w:r>
              <w:rPr>
                <w:rFonts w:hint="eastAsia" w:ascii="微软雅黑" w:hAnsi="微软雅黑" w:eastAsia="微软雅黑" w:cs="仿宋"/>
                <w:szCs w:val="21"/>
              </w:rPr>
              <w:t>计算机程序设计基础</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rPr>
            </w:pPr>
            <w:r>
              <w:rPr>
                <w:rFonts w:hint="eastAsia" w:ascii="微软雅黑" w:hAnsi="微软雅黑" w:eastAsia="微软雅黑"/>
                <w:sz w:val="18"/>
                <w:szCs w:val="18"/>
              </w:rPr>
              <w:t>72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rPr>
            </w:pPr>
            <w:r>
              <w:rPr>
                <w:rFonts w:hint="eastAsia" w:ascii="微软雅黑" w:hAnsi="微软雅黑" w:eastAsia="微软雅黑" w:cs="仿宋"/>
                <w:szCs w:val="21"/>
              </w:rPr>
              <w:t>吕涛</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ascii="微软雅黑" w:hAnsi="微软雅黑" w:eastAsia="微软雅黑" w:cs="仿宋"/>
                <w:sz w:val="20"/>
              </w:rPr>
              <w:t>一</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rPr>
            </w:pPr>
            <w:r>
              <w:rPr>
                <w:rFonts w:hint="eastAsia" w:ascii="微软雅黑" w:hAnsi="微软雅黑" w:eastAsia="微软雅黑" w:cs="仿宋"/>
                <w:color w:val="FF0000"/>
                <w:szCs w:val="21"/>
              </w:rPr>
              <w:t>面向对象程序设计</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rPr>
            </w:pPr>
            <w:r>
              <w:rPr>
                <w:rFonts w:hint="eastAsia" w:ascii="微软雅黑" w:hAnsi="微软雅黑" w:eastAsia="微软雅黑"/>
                <w:sz w:val="18"/>
                <w:szCs w:val="18"/>
              </w:rPr>
              <w:t>64</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rPr>
            </w:pPr>
            <w:r>
              <w:rPr>
                <w:rFonts w:ascii="微软雅黑" w:hAnsi="微软雅黑" w:eastAsia="微软雅黑" w:cs="仿宋"/>
                <w:szCs w:val="21"/>
              </w:rPr>
              <w:t>王海晖</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hint="eastAsia" w:ascii="微软雅黑" w:hAnsi="微软雅黑" w:eastAsia="微软雅黑"/>
              </w:rPr>
              <w:t>二</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rPr>
            </w:pPr>
            <w:r>
              <w:rPr>
                <w:rFonts w:hint="eastAsia" w:ascii="微软雅黑" w:hAnsi="微软雅黑" w:eastAsia="微软雅黑" w:cs="仿宋"/>
                <w:szCs w:val="21"/>
              </w:rPr>
              <w:t>数字逻辑</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rPr>
            </w:pPr>
            <w:r>
              <w:rPr>
                <w:rFonts w:hint="eastAsia" w:ascii="微软雅黑" w:hAnsi="微软雅黑" w:eastAsia="微软雅黑"/>
                <w:sz w:val="18"/>
                <w:szCs w:val="18"/>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rPr>
            </w:pPr>
            <w:r>
              <w:rPr>
                <w:rFonts w:ascii="微软雅黑" w:hAnsi="微软雅黑" w:eastAsia="微软雅黑" w:cs="仿宋"/>
                <w:szCs w:val="21"/>
              </w:rPr>
              <w:t>徐银霞</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hint="eastAsia" w:ascii="微软雅黑" w:hAnsi="微软雅黑" w:eastAsia="微软雅黑" w:cs="仿宋"/>
                <w:sz w:val="20"/>
              </w:rPr>
              <w:t>二</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color w:val="FF0000"/>
                <w:szCs w:val="21"/>
              </w:rPr>
              <w:t>离散数学</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sz w:val="18"/>
                <w:szCs w:val="18"/>
              </w:rPr>
            </w:pPr>
            <w:r>
              <w:rPr>
                <w:rFonts w:hint="eastAsia" w:ascii="微软雅黑" w:hAnsi="微软雅黑" w:eastAsia="微软雅黑"/>
                <w:sz w:val="18"/>
                <w:szCs w:val="18"/>
              </w:rPr>
              <w:t>64</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黄文芝</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三</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计算机组成原理</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sz w:val="18"/>
                <w:szCs w:val="18"/>
              </w:rPr>
            </w:pPr>
            <w:r>
              <w:rPr>
                <w:rFonts w:ascii="微软雅黑" w:hAnsi="微软雅黑" w:eastAsia="微软雅黑"/>
                <w:sz w:val="18"/>
                <w:szCs w:val="18"/>
              </w:rPr>
              <w:t>56</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rPr>
              <w:t>吴云韬</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rPr>
              <w:t>三</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操作系统</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sz w:val="18"/>
                <w:szCs w:val="18"/>
              </w:rPr>
            </w:pPr>
            <w:r>
              <w:rPr>
                <w:rFonts w:ascii="微软雅黑" w:hAnsi="微软雅黑" w:eastAsia="微软雅黑"/>
                <w:sz w:val="18"/>
                <w:szCs w:val="18"/>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rPr>
            </w:pPr>
            <w:r>
              <w:rPr>
                <w:rFonts w:hint="eastAsia" w:ascii="微软雅黑" w:hAnsi="微软雅黑" w:eastAsia="微软雅黑" w:cs="仿宋"/>
                <w:szCs w:val="21"/>
              </w:rPr>
              <w:t>姚峰</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hint="eastAsia" w:ascii="微软雅黑" w:hAnsi="微软雅黑" w:eastAsia="微软雅黑"/>
              </w:rPr>
              <w:t>四</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ascii="微软雅黑" w:hAnsi="微软雅黑" w:eastAsia="微软雅黑" w:cs="仿宋"/>
                <w:szCs w:val="21"/>
              </w:rPr>
              <w:t>数据结构</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sz w:val="18"/>
                <w:szCs w:val="18"/>
              </w:rPr>
            </w:pPr>
            <w:r>
              <w:rPr>
                <w:rFonts w:ascii="微软雅黑" w:hAnsi="微软雅黑" w:eastAsia="微软雅黑"/>
                <w:sz w:val="18"/>
                <w:szCs w:val="18"/>
              </w:rPr>
              <w:t>72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张俊</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hint="eastAsia" w:ascii="微软雅黑" w:hAnsi="微软雅黑" w:eastAsia="微软雅黑" w:cs="仿宋"/>
                <w:sz w:val="20"/>
              </w:rPr>
              <w:t>四</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计算机网络</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sz w:val="18"/>
                <w:szCs w:val="18"/>
              </w:rPr>
            </w:pPr>
            <w:r>
              <w:rPr>
                <w:rFonts w:ascii="微软雅黑" w:hAnsi="微软雅黑" w:eastAsia="微软雅黑"/>
                <w:sz w:val="18"/>
                <w:szCs w:val="18"/>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ascii="微软雅黑" w:hAnsi="微软雅黑" w:eastAsia="微软雅黑" w:cs="仿宋"/>
                <w:sz w:val="20"/>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郑更生</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四</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人工智能导论</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sz w:val="18"/>
                <w:szCs w:val="18"/>
              </w:rPr>
            </w:pPr>
            <w:r>
              <w:rPr>
                <w:rFonts w:hint="eastAsia" w:ascii="微软雅黑" w:hAnsi="微软雅黑" w:eastAsia="微软雅黑"/>
                <w:sz w:val="18"/>
                <w:szCs w:val="18"/>
              </w:rPr>
              <w:t>3</w:t>
            </w:r>
            <w:r>
              <w:rPr>
                <w:rFonts w:ascii="微软雅黑" w:hAnsi="微软雅黑" w:eastAsia="微软雅黑"/>
                <w:sz w:val="18"/>
                <w:szCs w:val="18"/>
              </w:rPr>
              <w:t>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hint="eastAsia" w:ascii="微软雅黑" w:hAnsi="微软雅黑" w:eastAsia="微软雅黑" w:cs="仿宋"/>
                <w:sz w:val="20"/>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张彦铎</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cs="仿宋"/>
                <w:sz w:val="20"/>
              </w:rPr>
              <w:t>五</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机器学习</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sz w:val="18"/>
                <w:szCs w:val="18"/>
              </w:rPr>
            </w:pPr>
            <w:r>
              <w:rPr>
                <w:rFonts w:ascii="微软雅黑" w:hAnsi="微软雅黑" w:eastAsia="微软雅黑" w:cs="仿宋"/>
                <w:sz w:val="20"/>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hint="eastAsia" w:ascii="微软雅黑" w:hAnsi="微软雅黑" w:eastAsia="微软雅黑"/>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闵峰</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cs="仿宋"/>
                <w:sz w:val="20"/>
              </w:rPr>
              <w:t>五</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算法设计与分析</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黄巍</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cs="仿宋"/>
                <w:sz w:val="20"/>
              </w:rPr>
              <w:t>五</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最优化方法</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32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陈灯</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五</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智能机器人</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周华兵</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五</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机器视觉与应用</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hint="eastAsia" w:ascii="微软雅黑" w:hAnsi="微软雅黑" w:eastAsia="微软雅黑"/>
              </w:rPr>
              <w:t>4</w:t>
            </w:r>
            <w:r>
              <w:rPr>
                <w:rFonts w:ascii="微软雅黑" w:hAnsi="微软雅黑" w:eastAsia="微软雅黑"/>
              </w:rPr>
              <w:t>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孙爱蓉</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五</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color w:val="auto"/>
                <w:szCs w:val="21"/>
              </w:rPr>
            </w:pPr>
            <w:r>
              <w:rPr>
                <w:rFonts w:hint="eastAsia" w:ascii="微软雅黑" w:hAnsi="微软雅黑" w:eastAsia="微软雅黑" w:cs="仿宋"/>
                <w:color w:val="auto"/>
                <w:szCs w:val="21"/>
              </w:rPr>
              <w:t>模式识别</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olor w:val="auto"/>
              </w:rPr>
            </w:pPr>
            <w:r>
              <w:rPr>
                <w:rFonts w:ascii="微软雅黑" w:hAnsi="微软雅黑" w:eastAsia="微软雅黑" w:cs="仿宋"/>
                <w:color w:val="auto"/>
                <w:sz w:val="20"/>
              </w:rPr>
              <w:t>48</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5"/>
              <w:jc w:val="center"/>
              <w:rPr>
                <w:rFonts w:ascii="微软雅黑" w:hAnsi="微软雅黑" w:eastAsia="微软雅黑"/>
                <w:color w:val="auto"/>
              </w:rPr>
            </w:pPr>
            <w:r>
              <w:rPr>
                <w:rFonts w:hint="eastAsia" w:ascii="微软雅黑" w:hAnsi="微软雅黑" w:eastAsia="微软雅黑"/>
                <w:color w:val="auto"/>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color w:val="auto"/>
                <w:szCs w:val="21"/>
              </w:rPr>
            </w:pPr>
            <w:r>
              <w:rPr>
                <w:rFonts w:hint="eastAsia" w:ascii="微软雅黑" w:hAnsi="微软雅黑" w:eastAsia="微软雅黑" w:cs="仿宋"/>
                <w:color w:val="auto"/>
                <w:szCs w:val="21"/>
              </w:rPr>
              <w:t>卢涛</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color w:val="FF0000"/>
                <w:szCs w:val="21"/>
              </w:rPr>
            </w:pPr>
            <w:r>
              <w:rPr>
                <w:rFonts w:hint="eastAsia" w:ascii="微软雅黑" w:hAnsi="微软雅黑" w:eastAsia="微软雅黑" w:cs="仿宋"/>
                <w:szCs w:val="21"/>
              </w:rPr>
              <w:t>嵌入式智能系统</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32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color w:val="FF0000"/>
                <w:szCs w:val="21"/>
              </w:rPr>
            </w:pPr>
            <w:r>
              <w:rPr>
                <w:rFonts w:hint="eastAsia" w:ascii="微软雅黑" w:hAnsi="微软雅黑" w:eastAsia="微软雅黑" w:cs="仿宋"/>
                <w:szCs w:val="21"/>
              </w:rPr>
              <w:t>刘昌晖</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工业机器人技术</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hint="eastAsia" w:ascii="微软雅黑" w:hAnsi="微软雅黑" w:eastAsia="微软雅黑"/>
              </w:rPr>
              <w:t>3</w:t>
            </w:r>
            <w:r>
              <w:rPr>
                <w:rFonts w:ascii="微软雅黑" w:hAnsi="微软雅黑" w:eastAsia="微软雅黑"/>
              </w:rPr>
              <w:t>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曾祥进</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rPr>
            </w:pPr>
            <w:r>
              <w:rPr>
                <w:rFonts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color w:val="FF0000"/>
                <w:szCs w:val="21"/>
              </w:rPr>
              <w:t>虚拟现实技术</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rPr>
            </w:pPr>
            <w:r>
              <w:rPr>
                <w:rFonts w:hint="eastAsia" w:ascii="微软雅黑" w:hAnsi="微软雅黑" w:eastAsia="微软雅黑"/>
              </w:rPr>
              <w:t>3</w:t>
            </w:r>
            <w:r>
              <w:rPr>
                <w:rFonts w:ascii="微软雅黑" w:hAnsi="微软雅黑" w:eastAsia="微软雅黑"/>
              </w:rPr>
              <w:t>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李晖</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数据挖掘与大数据应用</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rPr>
            </w:pPr>
            <w:r>
              <w:rPr>
                <w:rFonts w:ascii="微软雅黑" w:hAnsi="微软雅黑" w:eastAsia="微软雅黑" w:cs="仿宋"/>
                <w:sz w:val="20"/>
              </w:rPr>
              <w:t>32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ascii="微软雅黑" w:hAnsi="微软雅黑" w:eastAsia="微软雅黑" w:cs="仿宋"/>
                <w:sz w:val="20"/>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朱锐</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智能计算</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hint="eastAsia" w:ascii="微软雅黑" w:hAnsi="微软雅黑" w:eastAsia="微软雅黑"/>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赵彤洲</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自然语言理解</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48</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rPr>
              <w:t>4</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刘玮</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智能机器人系统</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32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ascii="微软雅黑" w:hAnsi="微软雅黑" w:eastAsia="微软雅黑" w:cs="仿宋"/>
                <w:sz w:val="20"/>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ascii="微软雅黑" w:hAnsi="微软雅黑" w:eastAsia="微软雅黑" w:cs="仿宋"/>
                <w:szCs w:val="21"/>
              </w:rPr>
              <w:t>鲁统伟</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ascii="微软雅黑" w:hAnsi="微软雅黑" w:eastAsia="微软雅黑" w:cs="仿宋"/>
                <w:sz w:val="20"/>
              </w:rPr>
              <w:t>六</w:t>
            </w:r>
          </w:p>
        </w:tc>
      </w:tr>
      <w:tr>
        <w:tblPrEx>
          <w:tblLayout w:type="fixed"/>
          <w:tblCellMar>
            <w:top w:w="0" w:type="dxa"/>
            <w:left w:w="166" w:type="dxa"/>
            <w:bottom w:w="49" w:type="dxa"/>
            <w:right w:w="113" w:type="dxa"/>
          </w:tblCellMar>
        </w:tblPrEx>
        <w:trPr>
          <w:trHeight w:val="490" w:hRule="atLeast"/>
        </w:trPr>
        <w:tc>
          <w:tcPr>
            <w:tcW w:w="399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
              <w:jc w:val="center"/>
              <w:rPr>
                <w:rFonts w:ascii="微软雅黑" w:hAnsi="微软雅黑" w:eastAsia="微软雅黑" w:cs="仿宋"/>
                <w:szCs w:val="21"/>
              </w:rPr>
            </w:pPr>
            <w:r>
              <w:rPr>
                <w:rFonts w:hint="eastAsia" w:ascii="微软雅黑" w:hAnsi="微软雅黑" w:eastAsia="微软雅黑" w:cs="仿宋"/>
                <w:szCs w:val="21"/>
              </w:rPr>
              <w:t>智能传感器技术</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cs="仿宋"/>
                <w:sz w:val="20"/>
              </w:rPr>
            </w:pPr>
            <w:r>
              <w:rPr>
                <w:rFonts w:ascii="微软雅黑" w:hAnsi="微软雅黑" w:eastAsia="微软雅黑" w:cs="仿宋"/>
                <w:sz w:val="20"/>
              </w:rPr>
              <w:t>32</w:t>
            </w:r>
          </w:p>
        </w:tc>
        <w:tc>
          <w:tcPr>
            <w:tcW w:w="1134"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cs="仿宋"/>
                <w:sz w:val="20"/>
              </w:rPr>
            </w:pPr>
            <w:r>
              <w:rPr>
                <w:rFonts w:ascii="微软雅黑" w:hAnsi="微软雅黑" w:eastAsia="微软雅黑" w:cs="仿宋"/>
                <w:sz w:val="20"/>
              </w:rPr>
              <w:t>2</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2"/>
              <w:jc w:val="center"/>
              <w:rPr>
                <w:rFonts w:ascii="微软雅黑" w:hAnsi="微软雅黑" w:eastAsia="微软雅黑" w:cs="仿宋"/>
                <w:szCs w:val="21"/>
              </w:rPr>
            </w:pPr>
            <w:r>
              <w:rPr>
                <w:rFonts w:hint="eastAsia" w:ascii="微软雅黑" w:hAnsi="微软雅黑" w:eastAsia="微软雅黑" w:cs="仿宋"/>
                <w:szCs w:val="21"/>
              </w:rPr>
              <w:t>徐文霞</w:t>
            </w:r>
          </w:p>
        </w:tc>
        <w:tc>
          <w:tcPr>
            <w:tcW w:w="1299" w:type="dxa"/>
            <w:tcBorders>
              <w:top w:val="single" w:color="000000" w:sz="4" w:space="0"/>
              <w:left w:val="single" w:color="000000" w:sz="4" w:space="0"/>
              <w:bottom w:val="single" w:color="000000" w:sz="4" w:space="0"/>
              <w:right w:val="single" w:color="000000" w:sz="4" w:space="0"/>
            </w:tcBorders>
          </w:tcPr>
          <w:p>
            <w:pPr>
              <w:spacing w:after="0" w:line="240" w:lineRule="auto"/>
              <w:jc w:val="center"/>
              <w:rPr>
                <w:rFonts w:ascii="微软雅黑" w:hAnsi="微软雅黑" w:eastAsia="微软雅黑" w:cs="仿宋"/>
                <w:sz w:val="20"/>
              </w:rPr>
            </w:pPr>
            <w:r>
              <w:rPr>
                <w:rFonts w:hint="eastAsia" w:ascii="微软雅黑" w:hAnsi="微软雅黑" w:eastAsia="微软雅黑" w:cs="仿宋"/>
                <w:sz w:val="20"/>
              </w:rPr>
              <w:t>六</w:t>
            </w:r>
          </w:p>
        </w:tc>
      </w:tr>
    </w:tbl>
    <w:p>
      <w:pPr>
        <w:spacing w:after="0"/>
        <w:ind w:left="72" w:hanging="10"/>
        <w:rPr>
          <w:rFonts w:ascii="微软雅黑" w:hAnsi="微软雅黑" w:eastAsia="微软雅黑" w:cs="微软雅黑"/>
          <w:sz w:val="24"/>
        </w:rPr>
      </w:pPr>
    </w:p>
    <w:p>
      <w:pPr>
        <w:spacing w:after="0"/>
        <w:ind w:left="72" w:hanging="10"/>
        <w:rPr>
          <w:rFonts w:ascii="微软雅黑" w:hAnsi="微软雅黑" w:eastAsia="微软雅黑" w:cs="微软雅黑"/>
          <w:sz w:val="24"/>
        </w:rPr>
      </w:pPr>
    </w:p>
    <w:p>
      <w:pPr>
        <w:spacing w:after="0"/>
        <w:ind w:left="72" w:hanging="10"/>
        <w:rPr>
          <w:rFonts w:ascii="微软雅黑" w:hAnsi="微软雅黑" w:eastAsia="微软雅黑"/>
        </w:rPr>
      </w:pPr>
    </w:p>
    <w:p>
      <w:pPr>
        <w:rPr>
          <w:rFonts w:hint="eastAsia" w:ascii="微软雅黑" w:hAnsi="微软雅黑" w:eastAsia="微软雅黑" w:cs="Times New Roman"/>
          <w:sz w:val="36"/>
          <w:szCs w:val="36"/>
        </w:rPr>
      </w:pPr>
      <w:r>
        <w:rPr>
          <w:rFonts w:hint="eastAsia" w:ascii="微软雅黑" w:hAnsi="微软雅黑" w:eastAsia="微软雅黑" w:cs="Times New Roman"/>
          <w:sz w:val="36"/>
          <w:szCs w:val="36"/>
        </w:rPr>
        <w:br w:type="page"/>
      </w:r>
    </w:p>
    <w:p>
      <w:pPr>
        <w:spacing w:after="149"/>
        <w:ind w:left="77"/>
        <w:jc w:val="center"/>
        <w:rPr>
          <w:rFonts w:ascii="微软雅黑" w:hAnsi="微软雅黑" w:eastAsia="微软雅黑" w:cs="Times New Roman"/>
          <w:sz w:val="36"/>
          <w:szCs w:val="36"/>
        </w:rPr>
      </w:pPr>
      <w:r>
        <w:rPr>
          <w:rFonts w:hint="eastAsia" w:ascii="微软雅黑" w:hAnsi="微软雅黑" w:eastAsia="微软雅黑" w:cs="Times New Roman"/>
          <w:sz w:val="36"/>
          <w:szCs w:val="36"/>
        </w:rPr>
        <w:t>5.专业主要带头人简介</w:t>
      </w:r>
    </w:p>
    <w:tbl>
      <w:tblPr>
        <w:tblStyle w:val="8"/>
        <w:tblW w:w="999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151"/>
        <w:gridCol w:w="1254"/>
        <w:gridCol w:w="1237"/>
        <w:gridCol w:w="781"/>
        <w:gridCol w:w="878"/>
        <w:gridCol w:w="717"/>
        <w:gridCol w:w="1158"/>
        <w:gridCol w:w="100"/>
        <w:gridCol w:w="1753"/>
        <w:gridCol w:w="952"/>
        <w:gridCol w:w="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1003" w:hRule="atLeast"/>
          <w:jc w:val="center"/>
        </w:trPr>
        <w:tc>
          <w:tcPr>
            <w:tcW w:w="1151" w:type="dxa"/>
            <w:vAlign w:val="center"/>
          </w:tcPr>
          <w:p>
            <w:pPr>
              <w:jc w:val="center"/>
              <w:rPr>
                <w:rFonts w:ascii="微软雅黑" w:hAnsi="微软雅黑" w:eastAsia="微软雅黑" w:cs="Times New Roman"/>
              </w:rPr>
            </w:pPr>
            <w:r>
              <w:rPr>
                <w:rFonts w:ascii="微软雅黑" w:hAnsi="微软雅黑" w:eastAsia="微软雅黑" w:cs="Times New Roman"/>
              </w:rPr>
              <w:t>姓名</w:t>
            </w:r>
          </w:p>
        </w:tc>
        <w:tc>
          <w:tcPr>
            <w:tcW w:w="1254" w:type="dxa"/>
            <w:vAlign w:val="center"/>
          </w:tcPr>
          <w:p>
            <w:pPr>
              <w:jc w:val="center"/>
              <w:rPr>
                <w:rFonts w:ascii="微软雅黑" w:hAnsi="微软雅黑" w:eastAsia="微软雅黑" w:cs="Times New Roman"/>
              </w:rPr>
            </w:pPr>
            <w:r>
              <w:rPr>
                <w:rFonts w:hint="eastAsia" w:ascii="微软雅黑" w:hAnsi="微软雅黑" w:eastAsia="微软雅黑" w:cs="Times New Roman"/>
              </w:rPr>
              <w:t>张彦铎</w:t>
            </w:r>
          </w:p>
        </w:tc>
        <w:tc>
          <w:tcPr>
            <w:tcW w:w="1237" w:type="dxa"/>
            <w:vAlign w:val="center"/>
          </w:tcPr>
          <w:p>
            <w:pPr>
              <w:jc w:val="center"/>
              <w:rPr>
                <w:rFonts w:ascii="微软雅黑" w:hAnsi="微软雅黑" w:eastAsia="微软雅黑" w:cs="Times New Roman"/>
              </w:rPr>
            </w:pPr>
            <w:r>
              <w:rPr>
                <w:rFonts w:ascii="微软雅黑" w:hAnsi="微软雅黑" w:eastAsia="微软雅黑" w:cs="Times New Roman"/>
              </w:rPr>
              <w:t>性别</w:t>
            </w:r>
          </w:p>
        </w:tc>
        <w:tc>
          <w:tcPr>
            <w:tcW w:w="781" w:type="dxa"/>
            <w:vAlign w:val="center"/>
          </w:tcPr>
          <w:p>
            <w:pPr>
              <w:jc w:val="center"/>
              <w:rPr>
                <w:rFonts w:ascii="微软雅黑" w:hAnsi="微软雅黑" w:eastAsia="微软雅黑" w:cs="Times New Roman"/>
              </w:rPr>
            </w:pPr>
            <w:r>
              <w:rPr>
                <w:rFonts w:hint="eastAsia" w:ascii="微软雅黑" w:hAnsi="微软雅黑" w:eastAsia="微软雅黑" w:cs="Times New Roman"/>
              </w:rPr>
              <w:t>男</w:t>
            </w:r>
          </w:p>
        </w:tc>
        <w:tc>
          <w:tcPr>
            <w:tcW w:w="1595" w:type="dxa"/>
            <w:gridSpan w:val="2"/>
            <w:vAlign w:val="center"/>
          </w:tcPr>
          <w:p>
            <w:pPr>
              <w:jc w:val="center"/>
              <w:rPr>
                <w:rFonts w:ascii="微软雅黑" w:hAnsi="微软雅黑" w:eastAsia="微软雅黑" w:cs="Times New Roman"/>
              </w:rPr>
            </w:pPr>
            <w:r>
              <w:rPr>
                <w:rFonts w:ascii="微软雅黑" w:hAnsi="微软雅黑" w:eastAsia="微软雅黑" w:cs="Times New Roman"/>
              </w:rPr>
              <w:t>专业技术职务</w:t>
            </w:r>
          </w:p>
        </w:tc>
        <w:tc>
          <w:tcPr>
            <w:tcW w:w="1258" w:type="dxa"/>
            <w:gridSpan w:val="2"/>
            <w:vAlign w:val="center"/>
          </w:tcPr>
          <w:p>
            <w:pPr>
              <w:jc w:val="center"/>
              <w:rPr>
                <w:rFonts w:ascii="微软雅黑" w:hAnsi="微软雅黑" w:eastAsia="微软雅黑" w:cs="Times New Roman"/>
              </w:rPr>
            </w:pPr>
            <w:r>
              <w:rPr>
                <w:rFonts w:hint="eastAsia" w:ascii="微软雅黑" w:hAnsi="微软雅黑" w:eastAsia="微软雅黑" w:cs="Times New Roman"/>
              </w:rPr>
              <w:t>教授、博导</w:t>
            </w:r>
          </w:p>
        </w:tc>
        <w:tc>
          <w:tcPr>
            <w:tcW w:w="1753" w:type="dxa"/>
            <w:vAlign w:val="center"/>
          </w:tcPr>
          <w:p>
            <w:pPr>
              <w:jc w:val="center"/>
              <w:rPr>
                <w:rFonts w:ascii="微软雅黑" w:hAnsi="微软雅黑" w:eastAsia="微软雅黑" w:cs="Times New Roman"/>
              </w:rPr>
            </w:pPr>
            <w:r>
              <w:rPr>
                <w:rFonts w:hint="eastAsia" w:ascii="微软雅黑" w:hAnsi="微软雅黑" w:eastAsia="微软雅黑" w:cs="Times New Roman"/>
              </w:rPr>
              <w:t>行政职务</w:t>
            </w:r>
          </w:p>
        </w:tc>
        <w:tc>
          <w:tcPr>
            <w:tcW w:w="952" w:type="dxa"/>
            <w:vAlign w:val="center"/>
          </w:tcPr>
          <w:p>
            <w:pPr>
              <w:jc w:val="center"/>
              <w:rPr>
                <w:rFonts w:ascii="微软雅黑" w:hAnsi="微软雅黑" w:eastAsia="微软雅黑" w:cs="Times New Roman"/>
              </w:rPr>
            </w:pPr>
            <w:r>
              <w:rPr>
                <w:rFonts w:hint="eastAsia" w:ascii="微软雅黑" w:hAnsi="微软雅黑" w:eastAsia="微软雅黑" w:cs="Times New Roman"/>
              </w:rPr>
              <w:t>副校长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478" w:hRule="atLeast"/>
          <w:jc w:val="center"/>
        </w:trPr>
        <w:tc>
          <w:tcPr>
            <w:tcW w:w="1151" w:type="dxa"/>
            <w:vAlign w:val="center"/>
          </w:tcPr>
          <w:p>
            <w:pPr>
              <w:jc w:val="center"/>
              <w:rPr>
                <w:rFonts w:ascii="微软雅黑" w:hAnsi="微软雅黑" w:eastAsia="微软雅黑" w:cs="Times New Roman"/>
              </w:rPr>
            </w:pPr>
            <w:r>
              <w:rPr>
                <w:rFonts w:hint="eastAsia" w:ascii="微软雅黑" w:hAnsi="微软雅黑" w:eastAsia="微软雅黑" w:cs="Times New Roman"/>
              </w:rPr>
              <w:t>拟承担课程</w:t>
            </w:r>
          </w:p>
        </w:tc>
        <w:tc>
          <w:tcPr>
            <w:tcW w:w="3272" w:type="dxa"/>
            <w:gridSpan w:val="3"/>
            <w:vAlign w:val="center"/>
          </w:tcPr>
          <w:p>
            <w:pPr>
              <w:jc w:val="center"/>
              <w:rPr>
                <w:rFonts w:ascii="微软雅黑" w:hAnsi="微软雅黑" w:eastAsia="微软雅黑" w:cs="Times New Roman"/>
              </w:rPr>
            </w:pPr>
            <w:r>
              <w:rPr>
                <w:rFonts w:hint="eastAsia" w:ascii="微软雅黑" w:hAnsi="微软雅黑" w:eastAsia="微软雅黑" w:cs="Times New Roman"/>
              </w:rPr>
              <w:t>人工智能</w:t>
            </w:r>
          </w:p>
        </w:tc>
        <w:tc>
          <w:tcPr>
            <w:tcW w:w="1595" w:type="dxa"/>
            <w:gridSpan w:val="2"/>
            <w:vAlign w:val="center"/>
          </w:tcPr>
          <w:p>
            <w:pPr>
              <w:jc w:val="center"/>
              <w:rPr>
                <w:rFonts w:ascii="微软雅黑" w:hAnsi="微软雅黑" w:eastAsia="微软雅黑" w:cs="Times New Roman"/>
              </w:rPr>
            </w:pPr>
            <w:r>
              <w:rPr>
                <w:rFonts w:hint="eastAsia" w:ascii="微软雅黑" w:hAnsi="微软雅黑" w:eastAsia="微软雅黑" w:cs="Times New Roman"/>
              </w:rPr>
              <w:t>现所在单位</w:t>
            </w:r>
          </w:p>
        </w:tc>
        <w:tc>
          <w:tcPr>
            <w:tcW w:w="3963" w:type="dxa"/>
            <w:gridSpan w:val="4"/>
            <w:vAlign w:val="center"/>
          </w:tcPr>
          <w:p>
            <w:pPr>
              <w:jc w:val="center"/>
              <w:rPr>
                <w:rFonts w:ascii="微软雅黑" w:hAnsi="微软雅黑" w:eastAsia="微软雅黑" w:cs="Times New Roman"/>
              </w:rPr>
            </w:pPr>
            <w:r>
              <w:rPr>
                <w:rFonts w:hint="eastAsia" w:ascii="微软雅黑" w:hAnsi="微软雅黑" w:eastAsia="微软雅黑" w:cs="Times New Roman"/>
              </w:rPr>
              <w:t>武汉工程大学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478" w:hRule="atLeast"/>
          <w:jc w:val="center"/>
        </w:trPr>
        <w:tc>
          <w:tcPr>
            <w:tcW w:w="2405" w:type="dxa"/>
            <w:gridSpan w:val="2"/>
            <w:vAlign w:val="center"/>
          </w:tcPr>
          <w:p>
            <w:pPr>
              <w:jc w:val="center"/>
              <w:rPr>
                <w:rFonts w:ascii="微软雅黑" w:hAnsi="微软雅黑" w:eastAsia="微软雅黑" w:cs="Times New Roman"/>
                <w:spacing w:val="-10"/>
              </w:rPr>
            </w:pPr>
            <w:r>
              <w:rPr>
                <w:rFonts w:ascii="微软雅黑" w:hAnsi="微软雅黑" w:eastAsia="微软雅黑" w:cs="Times New Roman"/>
                <w:spacing w:val="-6"/>
              </w:rPr>
              <w:t>最后学历</w:t>
            </w:r>
            <w:r>
              <w:rPr>
                <w:rFonts w:ascii="微软雅黑" w:hAnsi="微软雅黑" w:eastAsia="微软雅黑" w:cs="Times New Roman"/>
                <w:spacing w:val="-10"/>
              </w:rPr>
              <w:t>毕业时间、学校、专业</w:t>
            </w:r>
          </w:p>
        </w:tc>
        <w:tc>
          <w:tcPr>
            <w:tcW w:w="7576"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1999年毕业于哈尔滨工业大学飞行器设计专业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60" w:hRule="atLeast"/>
          <w:jc w:val="center"/>
        </w:trPr>
        <w:tc>
          <w:tcPr>
            <w:tcW w:w="2405" w:type="dxa"/>
            <w:gridSpan w:val="2"/>
            <w:vAlign w:val="center"/>
          </w:tcPr>
          <w:p>
            <w:pPr>
              <w:jc w:val="center"/>
              <w:rPr>
                <w:rFonts w:ascii="微软雅黑" w:hAnsi="微软雅黑" w:eastAsia="微软雅黑" w:cs="Times New Roman"/>
              </w:rPr>
            </w:pPr>
            <w:r>
              <w:rPr>
                <w:rFonts w:ascii="微软雅黑" w:hAnsi="微软雅黑" w:eastAsia="微软雅黑" w:cs="Times New Roman"/>
              </w:rPr>
              <w:t>主要研究方向</w:t>
            </w:r>
          </w:p>
        </w:tc>
        <w:tc>
          <w:tcPr>
            <w:tcW w:w="7576"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智能系统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405" w:type="dxa"/>
            <w:gridSpan w:val="2"/>
            <w:vAlign w:val="center"/>
          </w:tcPr>
          <w:p>
            <w:pPr>
              <w:jc w:val="center"/>
              <w:rPr>
                <w:rFonts w:ascii="微软雅黑" w:hAnsi="微软雅黑" w:eastAsia="微软雅黑" w:cs="Times New Roman"/>
              </w:rPr>
            </w:pPr>
            <w:r>
              <w:rPr>
                <w:rFonts w:hint="eastAsia" w:ascii="微软雅黑" w:hAnsi="微软雅黑" w:eastAsia="微软雅黑" w:cs="Times New Roman"/>
              </w:rPr>
              <w:t>获教学成果奖项情况</w:t>
            </w:r>
          </w:p>
        </w:tc>
        <w:tc>
          <w:tcPr>
            <w:tcW w:w="7576"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2013年获省级教学成果二等奖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405" w:type="dxa"/>
            <w:gridSpan w:val="2"/>
            <w:vAlign w:val="center"/>
          </w:tcPr>
          <w:p>
            <w:pPr>
              <w:rPr>
                <w:rFonts w:ascii="微软雅黑" w:hAnsi="微软雅黑" w:eastAsia="微软雅黑" w:cs="Times New Roman"/>
              </w:rPr>
            </w:pPr>
            <w:r>
              <w:rPr>
                <w:rFonts w:hint="eastAsia" w:ascii="微软雅黑" w:hAnsi="微软雅黑" w:eastAsia="微软雅黑" w:cs="Times New Roman"/>
              </w:rPr>
              <w:t>获科研成果奖项情况</w:t>
            </w:r>
          </w:p>
        </w:tc>
        <w:tc>
          <w:tcPr>
            <w:tcW w:w="7576"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2012年获省级科技进步奖三等奖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405" w:type="dxa"/>
            <w:gridSpan w:val="2"/>
            <w:vAlign w:val="center"/>
          </w:tcPr>
          <w:p>
            <w:pPr>
              <w:rPr>
                <w:rFonts w:ascii="微软雅黑" w:hAnsi="微软雅黑" w:eastAsia="微软雅黑" w:cs="Times New Roman"/>
              </w:rPr>
            </w:pPr>
            <w:r>
              <w:rPr>
                <w:rFonts w:hint="eastAsia" w:ascii="微软雅黑" w:hAnsi="微软雅黑" w:eastAsia="微软雅黑" w:cs="Times New Roman"/>
              </w:rPr>
              <w:t>目前承担教学项目情况</w:t>
            </w:r>
          </w:p>
        </w:tc>
        <w:tc>
          <w:tcPr>
            <w:tcW w:w="7576"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承担国家级和省部级教学研究项目2项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405" w:type="dxa"/>
            <w:gridSpan w:val="2"/>
            <w:vAlign w:val="center"/>
          </w:tcPr>
          <w:p>
            <w:pPr>
              <w:rPr>
                <w:rFonts w:ascii="微软雅黑" w:hAnsi="微软雅黑" w:eastAsia="微软雅黑" w:cs="Times New Roman"/>
              </w:rPr>
            </w:pPr>
            <w:r>
              <w:rPr>
                <w:rFonts w:hint="eastAsia" w:ascii="微软雅黑" w:hAnsi="微软雅黑" w:eastAsia="微软雅黑" w:cs="Times New Roman"/>
              </w:rPr>
              <w:t>目前承担科研情况</w:t>
            </w:r>
          </w:p>
        </w:tc>
        <w:tc>
          <w:tcPr>
            <w:tcW w:w="7576"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承担省部级科研项目3项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trHeight w:val="876" w:hRule="atLeast"/>
          <w:jc w:val="center"/>
        </w:trPr>
        <w:tc>
          <w:tcPr>
            <w:tcW w:w="2405" w:type="dxa"/>
            <w:gridSpan w:val="2"/>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近三年获得教学研究经费(万元</w:t>
            </w:r>
            <w:r>
              <w:rPr>
                <w:rFonts w:ascii="微软雅黑" w:hAnsi="微软雅黑" w:eastAsia="微软雅黑" w:cs="Times New Roman"/>
              </w:rPr>
              <w:t>)</w:t>
            </w:r>
          </w:p>
        </w:tc>
        <w:tc>
          <w:tcPr>
            <w:tcW w:w="2896" w:type="dxa"/>
            <w:gridSpan w:val="3"/>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10</w:t>
            </w:r>
          </w:p>
        </w:tc>
        <w:tc>
          <w:tcPr>
            <w:tcW w:w="1875" w:type="dxa"/>
            <w:gridSpan w:val="2"/>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近三年获得科学研究经费(万元</w:t>
            </w:r>
            <w:r>
              <w:rPr>
                <w:rFonts w:ascii="微软雅黑" w:hAnsi="微软雅黑" w:eastAsia="微软雅黑" w:cs="Times New Roman"/>
              </w:rPr>
              <w:t>)</w:t>
            </w:r>
          </w:p>
        </w:tc>
        <w:tc>
          <w:tcPr>
            <w:tcW w:w="2814" w:type="dxa"/>
            <w:gridSpan w:val="4"/>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trHeight w:val="874" w:hRule="atLeast"/>
          <w:jc w:val="center"/>
        </w:trPr>
        <w:tc>
          <w:tcPr>
            <w:tcW w:w="2405" w:type="dxa"/>
            <w:gridSpan w:val="2"/>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近三年给本科生授课(理论教学</w:t>
            </w:r>
            <w:r>
              <w:rPr>
                <w:rFonts w:ascii="微软雅黑" w:hAnsi="微软雅黑" w:eastAsia="微软雅黑" w:cs="Times New Roman"/>
              </w:rPr>
              <w:t>)</w:t>
            </w:r>
            <w:r>
              <w:rPr>
                <w:rFonts w:hint="eastAsia" w:ascii="微软雅黑" w:hAnsi="微软雅黑" w:eastAsia="微软雅黑" w:cs="Times New Roman"/>
              </w:rPr>
              <w:t>学时数</w:t>
            </w:r>
          </w:p>
        </w:tc>
        <w:tc>
          <w:tcPr>
            <w:tcW w:w="2896" w:type="dxa"/>
            <w:gridSpan w:val="3"/>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108</w:t>
            </w:r>
          </w:p>
        </w:tc>
        <w:tc>
          <w:tcPr>
            <w:tcW w:w="1875" w:type="dxa"/>
            <w:gridSpan w:val="2"/>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近三年指导本科毕业设计(人次</w:t>
            </w:r>
            <w:r>
              <w:rPr>
                <w:rFonts w:ascii="微软雅黑" w:hAnsi="微软雅黑" w:eastAsia="微软雅黑" w:cs="Times New Roman"/>
              </w:rPr>
              <w:t>）</w:t>
            </w:r>
          </w:p>
        </w:tc>
        <w:tc>
          <w:tcPr>
            <w:tcW w:w="2814" w:type="dxa"/>
            <w:gridSpan w:val="4"/>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16</w:t>
            </w:r>
          </w:p>
        </w:tc>
      </w:tr>
    </w:tbl>
    <w:p>
      <w:pPr>
        <w:rPr>
          <w:rFonts w:ascii="微软雅黑" w:hAnsi="微软雅黑" w:eastAsia="微软雅黑"/>
        </w:rPr>
      </w:pPr>
      <w:r>
        <w:rPr>
          <w:rFonts w:ascii="微软雅黑" w:hAnsi="微软雅黑" w:eastAsia="微软雅黑"/>
        </w:rPr>
        <w:br w:type="page"/>
      </w:r>
    </w:p>
    <w:p>
      <w:pPr>
        <w:spacing w:line="400" w:lineRule="exact"/>
        <w:rPr>
          <w:rFonts w:ascii="微软雅黑" w:hAnsi="微软雅黑" w:eastAsia="微软雅黑"/>
        </w:rPr>
      </w:pPr>
    </w:p>
    <w:tbl>
      <w:tblPr>
        <w:tblStyle w:val="8"/>
        <w:tblW w:w="999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151"/>
        <w:gridCol w:w="1058"/>
        <w:gridCol w:w="12"/>
        <w:gridCol w:w="1421"/>
        <w:gridCol w:w="781"/>
        <w:gridCol w:w="878"/>
        <w:gridCol w:w="717"/>
        <w:gridCol w:w="1158"/>
        <w:gridCol w:w="100"/>
        <w:gridCol w:w="1753"/>
        <w:gridCol w:w="952"/>
        <w:gridCol w:w="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1003" w:hRule="atLeast"/>
          <w:jc w:val="center"/>
        </w:trPr>
        <w:tc>
          <w:tcPr>
            <w:tcW w:w="1151" w:type="dxa"/>
            <w:vAlign w:val="center"/>
          </w:tcPr>
          <w:p>
            <w:pPr>
              <w:jc w:val="center"/>
              <w:rPr>
                <w:rFonts w:ascii="微软雅黑" w:hAnsi="微软雅黑" w:eastAsia="微软雅黑" w:cs="Times New Roman"/>
              </w:rPr>
            </w:pPr>
            <w:bookmarkStart w:id="0" w:name="_Hlk13599500"/>
            <w:r>
              <w:rPr>
                <w:rFonts w:ascii="微软雅黑" w:hAnsi="微软雅黑" w:eastAsia="微软雅黑" w:cs="Times New Roman"/>
              </w:rPr>
              <w:t>姓名</w:t>
            </w:r>
          </w:p>
        </w:tc>
        <w:tc>
          <w:tcPr>
            <w:tcW w:w="1058" w:type="dxa"/>
            <w:vAlign w:val="center"/>
          </w:tcPr>
          <w:p>
            <w:pPr>
              <w:jc w:val="center"/>
              <w:rPr>
                <w:rFonts w:ascii="微软雅黑" w:hAnsi="微软雅黑" w:eastAsia="微软雅黑" w:cs="Times New Roman"/>
              </w:rPr>
            </w:pPr>
            <w:r>
              <w:rPr>
                <w:rFonts w:hint="eastAsia" w:ascii="微软雅黑" w:hAnsi="微软雅黑" w:eastAsia="微软雅黑" w:cs="Times New Roman"/>
              </w:rPr>
              <w:t>吴云韬</w:t>
            </w:r>
          </w:p>
        </w:tc>
        <w:tc>
          <w:tcPr>
            <w:tcW w:w="1433" w:type="dxa"/>
            <w:gridSpan w:val="2"/>
            <w:vAlign w:val="center"/>
          </w:tcPr>
          <w:p>
            <w:pPr>
              <w:jc w:val="center"/>
              <w:rPr>
                <w:rFonts w:ascii="微软雅黑" w:hAnsi="微软雅黑" w:eastAsia="微软雅黑" w:cs="Times New Roman"/>
              </w:rPr>
            </w:pPr>
            <w:r>
              <w:rPr>
                <w:rFonts w:ascii="微软雅黑" w:hAnsi="微软雅黑" w:eastAsia="微软雅黑" w:cs="Times New Roman"/>
              </w:rPr>
              <w:t>性别</w:t>
            </w:r>
          </w:p>
        </w:tc>
        <w:tc>
          <w:tcPr>
            <w:tcW w:w="781" w:type="dxa"/>
            <w:vAlign w:val="center"/>
          </w:tcPr>
          <w:p>
            <w:pPr>
              <w:jc w:val="center"/>
              <w:rPr>
                <w:rFonts w:ascii="微软雅黑" w:hAnsi="微软雅黑" w:eastAsia="微软雅黑" w:cs="Times New Roman"/>
              </w:rPr>
            </w:pPr>
            <w:r>
              <w:rPr>
                <w:rFonts w:hint="eastAsia" w:ascii="微软雅黑" w:hAnsi="微软雅黑" w:eastAsia="微软雅黑" w:cs="Times New Roman"/>
              </w:rPr>
              <w:t>男</w:t>
            </w:r>
          </w:p>
        </w:tc>
        <w:tc>
          <w:tcPr>
            <w:tcW w:w="1595" w:type="dxa"/>
            <w:gridSpan w:val="2"/>
            <w:vAlign w:val="center"/>
          </w:tcPr>
          <w:p>
            <w:pPr>
              <w:jc w:val="center"/>
              <w:rPr>
                <w:rFonts w:ascii="微软雅黑" w:hAnsi="微软雅黑" w:eastAsia="微软雅黑" w:cs="Times New Roman"/>
              </w:rPr>
            </w:pPr>
            <w:r>
              <w:rPr>
                <w:rFonts w:ascii="微软雅黑" w:hAnsi="微软雅黑" w:eastAsia="微软雅黑" w:cs="Times New Roman"/>
              </w:rPr>
              <w:t>专业技术职务</w:t>
            </w:r>
          </w:p>
        </w:tc>
        <w:tc>
          <w:tcPr>
            <w:tcW w:w="1258" w:type="dxa"/>
            <w:gridSpan w:val="2"/>
            <w:vAlign w:val="center"/>
          </w:tcPr>
          <w:p>
            <w:pPr>
              <w:jc w:val="center"/>
              <w:rPr>
                <w:rFonts w:ascii="微软雅黑" w:hAnsi="微软雅黑" w:eastAsia="微软雅黑" w:cs="Times New Roman"/>
              </w:rPr>
            </w:pPr>
            <w:r>
              <w:rPr>
                <w:rFonts w:hint="eastAsia" w:ascii="微软雅黑" w:hAnsi="微软雅黑" w:eastAsia="微软雅黑" w:cs="Times New Roman"/>
              </w:rPr>
              <w:t>教授、博导</w:t>
            </w:r>
          </w:p>
        </w:tc>
        <w:tc>
          <w:tcPr>
            <w:tcW w:w="1753" w:type="dxa"/>
            <w:vAlign w:val="center"/>
          </w:tcPr>
          <w:p>
            <w:pPr>
              <w:jc w:val="center"/>
              <w:rPr>
                <w:rFonts w:ascii="微软雅黑" w:hAnsi="微软雅黑" w:eastAsia="微软雅黑" w:cs="Times New Roman"/>
              </w:rPr>
            </w:pPr>
            <w:r>
              <w:rPr>
                <w:rFonts w:hint="eastAsia" w:ascii="微软雅黑" w:hAnsi="微软雅黑" w:eastAsia="微软雅黑" w:cs="Times New Roman"/>
              </w:rPr>
              <w:t>行政职务</w:t>
            </w:r>
          </w:p>
        </w:tc>
        <w:tc>
          <w:tcPr>
            <w:tcW w:w="952" w:type="dxa"/>
            <w:vAlign w:val="center"/>
          </w:tcPr>
          <w:p>
            <w:pPr>
              <w:jc w:val="center"/>
              <w:rPr>
                <w:rFonts w:ascii="微软雅黑" w:hAnsi="微软雅黑" w:eastAsia="微软雅黑" w:cs="Times New Roman"/>
              </w:rPr>
            </w:pPr>
            <w:r>
              <w:rPr>
                <w:rFonts w:hint="eastAsia" w:ascii="微软雅黑" w:hAnsi="微软雅黑" w:eastAsia="微软雅黑" w:cs="Times New Roman"/>
              </w:rPr>
              <w:t>院长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478" w:hRule="atLeast"/>
          <w:jc w:val="center"/>
        </w:trPr>
        <w:tc>
          <w:tcPr>
            <w:tcW w:w="1151" w:type="dxa"/>
            <w:vAlign w:val="center"/>
          </w:tcPr>
          <w:p>
            <w:pPr>
              <w:jc w:val="center"/>
              <w:rPr>
                <w:rFonts w:ascii="微软雅黑" w:hAnsi="微软雅黑" w:eastAsia="微软雅黑" w:cs="Times New Roman"/>
              </w:rPr>
            </w:pPr>
            <w:r>
              <w:rPr>
                <w:rFonts w:hint="eastAsia" w:ascii="微软雅黑" w:hAnsi="微软雅黑" w:eastAsia="微软雅黑" w:cs="Times New Roman"/>
              </w:rPr>
              <w:t>拟承担课程</w:t>
            </w:r>
          </w:p>
        </w:tc>
        <w:tc>
          <w:tcPr>
            <w:tcW w:w="3272" w:type="dxa"/>
            <w:gridSpan w:val="4"/>
            <w:vAlign w:val="center"/>
          </w:tcPr>
          <w:p>
            <w:pPr>
              <w:jc w:val="center"/>
              <w:rPr>
                <w:rFonts w:ascii="微软雅黑" w:hAnsi="微软雅黑" w:eastAsia="微软雅黑" w:cs="Times New Roman"/>
              </w:rPr>
            </w:pPr>
            <w:r>
              <w:rPr>
                <w:rFonts w:hint="eastAsia" w:ascii="微软雅黑" w:hAnsi="微软雅黑" w:eastAsia="微软雅黑" w:cs="Times New Roman"/>
              </w:rPr>
              <w:t>信号与系统</w:t>
            </w:r>
          </w:p>
        </w:tc>
        <w:tc>
          <w:tcPr>
            <w:tcW w:w="1595" w:type="dxa"/>
            <w:gridSpan w:val="2"/>
            <w:vAlign w:val="center"/>
          </w:tcPr>
          <w:p>
            <w:pPr>
              <w:jc w:val="center"/>
              <w:rPr>
                <w:rFonts w:ascii="微软雅黑" w:hAnsi="微软雅黑" w:eastAsia="微软雅黑" w:cs="Times New Roman"/>
              </w:rPr>
            </w:pPr>
            <w:r>
              <w:rPr>
                <w:rFonts w:hint="eastAsia" w:ascii="微软雅黑" w:hAnsi="微软雅黑" w:eastAsia="微软雅黑" w:cs="Times New Roman"/>
              </w:rPr>
              <w:t>现所在单位</w:t>
            </w:r>
          </w:p>
        </w:tc>
        <w:tc>
          <w:tcPr>
            <w:tcW w:w="3963" w:type="dxa"/>
            <w:gridSpan w:val="4"/>
            <w:vAlign w:val="center"/>
          </w:tcPr>
          <w:p>
            <w:pPr>
              <w:jc w:val="center"/>
              <w:rPr>
                <w:rFonts w:ascii="微软雅黑" w:hAnsi="微软雅黑" w:eastAsia="微软雅黑" w:cs="Times New Roman"/>
              </w:rPr>
            </w:pPr>
            <w:r>
              <w:rPr>
                <w:rFonts w:hint="eastAsia" w:ascii="微软雅黑" w:hAnsi="微软雅黑" w:eastAsia="微软雅黑" w:cs="Times New Roman"/>
              </w:rPr>
              <w:t>武汉工程大学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478" w:hRule="atLeast"/>
          <w:jc w:val="center"/>
        </w:trPr>
        <w:tc>
          <w:tcPr>
            <w:tcW w:w="2209" w:type="dxa"/>
            <w:gridSpan w:val="2"/>
            <w:vAlign w:val="center"/>
          </w:tcPr>
          <w:p>
            <w:pPr>
              <w:jc w:val="center"/>
              <w:rPr>
                <w:rFonts w:ascii="微软雅黑" w:hAnsi="微软雅黑" w:eastAsia="微软雅黑" w:cs="Times New Roman"/>
                <w:spacing w:val="-10"/>
              </w:rPr>
            </w:pPr>
            <w:r>
              <w:rPr>
                <w:rFonts w:ascii="微软雅黑" w:hAnsi="微软雅黑" w:eastAsia="微软雅黑" w:cs="Times New Roman"/>
                <w:spacing w:val="-6"/>
              </w:rPr>
              <w:t>最后学历</w:t>
            </w:r>
            <w:r>
              <w:rPr>
                <w:rFonts w:ascii="微软雅黑" w:hAnsi="微软雅黑" w:eastAsia="微软雅黑" w:cs="Times New Roman"/>
                <w:spacing w:val="-10"/>
              </w:rPr>
              <w:t>毕业时间、学校、专业</w:t>
            </w:r>
          </w:p>
        </w:tc>
        <w:tc>
          <w:tcPr>
            <w:tcW w:w="7772" w:type="dxa"/>
            <w:gridSpan w:val="9"/>
            <w:vAlign w:val="center"/>
          </w:tcPr>
          <w:p>
            <w:pPr>
              <w:jc w:val="center"/>
              <w:rPr>
                <w:rFonts w:ascii="微软雅黑" w:hAnsi="微软雅黑" w:eastAsia="微软雅黑" w:cs="Times New Roman"/>
              </w:rPr>
            </w:pPr>
            <w:r>
              <w:rPr>
                <w:rFonts w:hint="eastAsia" w:ascii="微软雅黑" w:hAnsi="微软雅黑" w:eastAsia="微软雅黑" w:cs="Times New Roman"/>
              </w:rPr>
              <w:t>2003年毕业于西安电子科技大学信息与通信工程专业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60" w:hRule="atLeast"/>
          <w:jc w:val="center"/>
        </w:trPr>
        <w:tc>
          <w:tcPr>
            <w:tcW w:w="2209" w:type="dxa"/>
            <w:gridSpan w:val="2"/>
            <w:vAlign w:val="center"/>
          </w:tcPr>
          <w:p>
            <w:pPr>
              <w:jc w:val="center"/>
              <w:rPr>
                <w:rFonts w:ascii="微软雅黑" w:hAnsi="微软雅黑" w:eastAsia="微软雅黑" w:cs="Times New Roman"/>
              </w:rPr>
            </w:pPr>
            <w:r>
              <w:rPr>
                <w:rFonts w:ascii="微软雅黑" w:hAnsi="微软雅黑" w:eastAsia="微软雅黑" w:cs="Times New Roman"/>
              </w:rPr>
              <w:t>主要研究方向</w:t>
            </w:r>
          </w:p>
        </w:tc>
        <w:tc>
          <w:tcPr>
            <w:tcW w:w="7772" w:type="dxa"/>
            <w:gridSpan w:val="9"/>
            <w:vAlign w:val="center"/>
          </w:tcPr>
          <w:p>
            <w:pPr>
              <w:jc w:val="center"/>
              <w:rPr>
                <w:rFonts w:ascii="微软雅黑" w:hAnsi="微软雅黑" w:eastAsia="微软雅黑" w:cs="Times New Roman"/>
              </w:rPr>
            </w:pPr>
            <w:r>
              <w:rPr>
                <w:rFonts w:hint="eastAsia" w:ascii="微软雅黑" w:hAnsi="微软雅黑" w:eastAsia="微软雅黑" w:cs="Times New Roman"/>
              </w:rPr>
              <w:t>智能系统、无线传感器网络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221" w:type="dxa"/>
            <w:gridSpan w:val="3"/>
            <w:vAlign w:val="center"/>
          </w:tcPr>
          <w:p>
            <w:pPr>
              <w:jc w:val="center"/>
              <w:rPr>
                <w:rFonts w:ascii="微软雅黑" w:hAnsi="微软雅黑" w:eastAsia="微软雅黑" w:cs="Times New Roman"/>
              </w:rPr>
            </w:pPr>
            <w:r>
              <w:rPr>
                <w:rFonts w:hint="eastAsia" w:ascii="微软雅黑" w:hAnsi="微软雅黑" w:eastAsia="微软雅黑" w:cs="Times New Roman"/>
              </w:rPr>
              <w:t>获教学成果奖项情况</w:t>
            </w:r>
          </w:p>
        </w:tc>
        <w:tc>
          <w:tcPr>
            <w:tcW w:w="7760" w:type="dxa"/>
            <w:gridSpan w:val="8"/>
            <w:vAlign w:val="center"/>
          </w:tcPr>
          <w:p>
            <w:pPr>
              <w:jc w:val="center"/>
              <w:rPr>
                <w:rFonts w:ascii="微软雅黑" w:hAnsi="微软雅黑" w:eastAsia="微软雅黑"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221" w:type="dxa"/>
            <w:gridSpan w:val="3"/>
            <w:vAlign w:val="center"/>
          </w:tcPr>
          <w:p>
            <w:pPr>
              <w:rPr>
                <w:rFonts w:ascii="微软雅黑" w:hAnsi="微软雅黑" w:eastAsia="微软雅黑" w:cs="Times New Roman"/>
              </w:rPr>
            </w:pPr>
            <w:r>
              <w:rPr>
                <w:rFonts w:hint="eastAsia" w:ascii="微软雅黑" w:hAnsi="微软雅黑" w:eastAsia="微软雅黑" w:cs="Times New Roman"/>
              </w:rPr>
              <w:t>获科研成果奖项情况</w:t>
            </w:r>
          </w:p>
        </w:tc>
        <w:tc>
          <w:tcPr>
            <w:tcW w:w="7760"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2011年获省级自然科学三等奖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221" w:type="dxa"/>
            <w:gridSpan w:val="3"/>
            <w:vAlign w:val="center"/>
          </w:tcPr>
          <w:p>
            <w:pPr>
              <w:rPr>
                <w:rFonts w:ascii="微软雅黑" w:hAnsi="微软雅黑" w:eastAsia="微软雅黑" w:cs="Times New Roman"/>
              </w:rPr>
            </w:pPr>
            <w:r>
              <w:rPr>
                <w:rFonts w:hint="eastAsia" w:ascii="微软雅黑" w:hAnsi="微软雅黑" w:eastAsia="微软雅黑" w:cs="Times New Roman"/>
              </w:rPr>
              <w:t>目前承担教学项目情况</w:t>
            </w:r>
          </w:p>
        </w:tc>
        <w:tc>
          <w:tcPr>
            <w:tcW w:w="7760"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承担国家级和省部级教学研究项目2项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38" w:hRule="exact"/>
          <w:jc w:val="center"/>
        </w:trPr>
        <w:tc>
          <w:tcPr>
            <w:tcW w:w="2221" w:type="dxa"/>
            <w:gridSpan w:val="3"/>
            <w:vAlign w:val="center"/>
          </w:tcPr>
          <w:p>
            <w:pPr>
              <w:rPr>
                <w:rFonts w:ascii="微软雅黑" w:hAnsi="微软雅黑" w:eastAsia="微软雅黑" w:cs="Times New Roman"/>
              </w:rPr>
            </w:pPr>
            <w:r>
              <w:rPr>
                <w:rFonts w:hint="eastAsia" w:ascii="微软雅黑" w:hAnsi="微软雅黑" w:eastAsia="微软雅黑" w:cs="Times New Roman"/>
              </w:rPr>
              <w:t>目前承担科研情况</w:t>
            </w:r>
          </w:p>
        </w:tc>
        <w:tc>
          <w:tcPr>
            <w:tcW w:w="7760" w:type="dxa"/>
            <w:gridSpan w:val="8"/>
            <w:vAlign w:val="center"/>
          </w:tcPr>
          <w:p>
            <w:pPr>
              <w:jc w:val="center"/>
              <w:rPr>
                <w:rFonts w:ascii="微软雅黑" w:hAnsi="微软雅黑" w:eastAsia="微软雅黑" w:cs="Times New Roman"/>
              </w:rPr>
            </w:pPr>
            <w:r>
              <w:rPr>
                <w:rFonts w:hint="eastAsia" w:ascii="微软雅黑" w:hAnsi="微软雅黑" w:eastAsia="微软雅黑" w:cs="Times New Roman"/>
              </w:rPr>
              <w:t>承担省部级科研项目2项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trHeight w:val="876" w:hRule="atLeast"/>
          <w:jc w:val="center"/>
        </w:trPr>
        <w:tc>
          <w:tcPr>
            <w:tcW w:w="2221" w:type="dxa"/>
            <w:gridSpan w:val="3"/>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近三年获得教学研究经费(万元</w:t>
            </w:r>
            <w:r>
              <w:rPr>
                <w:rFonts w:ascii="微软雅黑" w:hAnsi="微软雅黑" w:eastAsia="微软雅黑" w:cs="Times New Roman"/>
              </w:rPr>
              <w:t>)</w:t>
            </w:r>
          </w:p>
        </w:tc>
        <w:tc>
          <w:tcPr>
            <w:tcW w:w="3080" w:type="dxa"/>
            <w:gridSpan w:val="3"/>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5</w:t>
            </w:r>
          </w:p>
        </w:tc>
        <w:tc>
          <w:tcPr>
            <w:tcW w:w="1875" w:type="dxa"/>
            <w:gridSpan w:val="2"/>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近三年获得科学研究经费(万元</w:t>
            </w:r>
            <w:r>
              <w:rPr>
                <w:rFonts w:ascii="微软雅黑" w:hAnsi="微软雅黑" w:eastAsia="微软雅黑" w:cs="Times New Roman"/>
              </w:rPr>
              <w:t>)</w:t>
            </w:r>
          </w:p>
        </w:tc>
        <w:tc>
          <w:tcPr>
            <w:tcW w:w="2814" w:type="dxa"/>
            <w:gridSpan w:val="4"/>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trHeight w:val="874" w:hRule="atLeast"/>
          <w:jc w:val="center"/>
        </w:trPr>
        <w:tc>
          <w:tcPr>
            <w:tcW w:w="2221" w:type="dxa"/>
            <w:gridSpan w:val="3"/>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近三年给本科生授课(理论教学</w:t>
            </w:r>
            <w:r>
              <w:rPr>
                <w:rFonts w:ascii="微软雅黑" w:hAnsi="微软雅黑" w:eastAsia="微软雅黑" w:cs="Times New Roman"/>
              </w:rPr>
              <w:t>)</w:t>
            </w:r>
            <w:r>
              <w:rPr>
                <w:rFonts w:hint="eastAsia" w:ascii="微软雅黑" w:hAnsi="微软雅黑" w:eastAsia="微软雅黑" w:cs="Times New Roman"/>
              </w:rPr>
              <w:t>学时数</w:t>
            </w:r>
          </w:p>
        </w:tc>
        <w:tc>
          <w:tcPr>
            <w:tcW w:w="3080" w:type="dxa"/>
            <w:gridSpan w:val="3"/>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308</w:t>
            </w:r>
          </w:p>
        </w:tc>
        <w:tc>
          <w:tcPr>
            <w:tcW w:w="1875" w:type="dxa"/>
            <w:gridSpan w:val="2"/>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近三年指导本科毕业设计(人次</w:t>
            </w:r>
            <w:r>
              <w:rPr>
                <w:rFonts w:ascii="微软雅黑" w:hAnsi="微软雅黑" w:eastAsia="微软雅黑" w:cs="Times New Roman"/>
              </w:rPr>
              <w:t>）</w:t>
            </w:r>
          </w:p>
        </w:tc>
        <w:tc>
          <w:tcPr>
            <w:tcW w:w="2814" w:type="dxa"/>
            <w:gridSpan w:val="4"/>
            <w:tcBorders>
              <w:left w:val="single" w:color="auto" w:sz="4" w:space="0"/>
            </w:tcBorders>
            <w:vAlign w:val="center"/>
          </w:tcPr>
          <w:p>
            <w:pPr>
              <w:jc w:val="center"/>
              <w:rPr>
                <w:rFonts w:ascii="微软雅黑" w:hAnsi="微软雅黑" w:eastAsia="微软雅黑" w:cs="Times New Roman"/>
              </w:rPr>
            </w:pPr>
            <w:r>
              <w:rPr>
                <w:rFonts w:hint="eastAsia" w:ascii="微软雅黑" w:hAnsi="微软雅黑" w:eastAsia="微软雅黑" w:cs="Times New Roman"/>
              </w:rPr>
              <w:t>25</w:t>
            </w:r>
          </w:p>
        </w:tc>
      </w:tr>
      <w:bookmarkEnd w:id="0"/>
    </w:tbl>
    <w:p>
      <w:pPr>
        <w:rPr>
          <w:rFonts w:ascii="微软雅黑" w:hAnsi="微软雅黑" w:eastAsia="微软雅黑"/>
        </w:rPr>
      </w:pPr>
      <w:r>
        <w:rPr>
          <w:rFonts w:ascii="微软雅黑" w:hAnsi="微软雅黑" w:eastAsia="微软雅黑"/>
        </w:rPr>
        <w:br w:type="page"/>
      </w:r>
    </w:p>
    <w:p>
      <w:pPr>
        <w:spacing w:after="0"/>
        <w:rPr>
          <w:rFonts w:ascii="微软雅黑" w:hAnsi="微软雅黑" w:eastAsia="微软雅黑" w:cs="微软雅黑"/>
          <w:sz w:val="24"/>
        </w:rPr>
      </w:pPr>
    </w:p>
    <w:tbl>
      <w:tblPr>
        <w:tblStyle w:val="8"/>
        <w:tblW w:w="999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151"/>
        <w:gridCol w:w="1058"/>
        <w:gridCol w:w="12"/>
        <w:gridCol w:w="1421"/>
        <w:gridCol w:w="781"/>
        <w:gridCol w:w="878"/>
        <w:gridCol w:w="717"/>
        <w:gridCol w:w="1158"/>
        <w:gridCol w:w="100"/>
        <w:gridCol w:w="1753"/>
        <w:gridCol w:w="952"/>
        <w:gridCol w:w="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1003" w:hRule="atLeast"/>
          <w:jc w:val="center"/>
        </w:trPr>
        <w:tc>
          <w:tcPr>
            <w:tcW w:w="1151" w:type="dxa"/>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姓名</w:t>
            </w:r>
          </w:p>
        </w:tc>
        <w:tc>
          <w:tcPr>
            <w:tcW w:w="1058" w:type="dxa"/>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王海晖</w:t>
            </w:r>
          </w:p>
        </w:tc>
        <w:tc>
          <w:tcPr>
            <w:tcW w:w="1433" w:type="dxa"/>
            <w:gridSpan w:val="2"/>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性别</w:t>
            </w:r>
          </w:p>
        </w:tc>
        <w:tc>
          <w:tcPr>
            <w:tcW w:w="781" w:type="dxa"/>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男</w:t>
            </w:r>
          </w:p>
        </w:tc>
        <w:tc>
          <w:tcPr>
            <w:tcW w:w="1595" w:type="dxa"/>
            <w:gridSpan w:val="2"/>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专业技术职务</w:t>
            </w:r>
          </w:p>
        </w:tc>
        <w:tc>
          <w:tcPr>
            <w:tcW w:w="1258" w:type="dxa"/>
            <w:gridSpan w:val="2"/>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教授</w:t>
            </w:r>
          </w:p>
        </w:tc>
        <w:tc>
          <w:tcPr>
            <w:tcW w:w="1753" w:type="dxa"/>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行政职务</w:t>
            </w:r>
          </w:p>
        </w:tc>
        <w:tc>
          <w:tcPr>
            <w:tcW w:w="952" w:type="dxa"/>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处长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478" w:hRule="atLeast"/>
          <w:jc w:val="center"/>
        </w:trPr>
        <w:tc>
          <w:tcPr>
            <w:tcW w:w="1151" w:type="dxa"/>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拟承担课程</w:t>
            </w:r>
          </w:p>
        </w:tc>
        <w:tc>
          <w:tcPr>
            <w:tcW w:w="3272" w:type="dxa"/>
            <w:gridSpan w:val="4"/>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数字图像处理</w:t>
            </w:r>
          </w:p>
        </w:tc>
        <w:tc>
          <w:tcPr>
            <w:tcW w:w="1595" w:type="dxa"/>
            <w:gridSpan w:val="2"/>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现所在单位</w:t>
            </w:r>
          </w:p>
        </w:tc>
        <w:tc>
          <w:tcPr>
            <w:tcW w:w="3963" w:type="dxa"/>
            <w:gridSpan w:val="4"/>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武汉工程大学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478" w:hRule="atLeast"/>
          <w:jc w:val="center"/>
        </w:trPr>
        <w:tc>
          <w:tcPr>
            <w:tcW w:w="2209" w:type="dxa"/>
            <w:gridSpan w:val="2"/>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最后学历毕业时间、学校、专业</w:t>
            </w:r>
          </w:p>
        </w:tc>
        <w:tc>
          <w:tcPr>
            <w:tcW w:w="7772" w:type="dxa"/>
            <w:gridSpan w:val="9"/>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2003年毕业于华中科技大学模式识别与智能系统专业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660" w:hRule="atLeast"/>
          <w:jc w:val="center"/>
        </w:trPr>
        <w:tc>
          <w:tcPr>
            <w:tcW w:w="2209" w:type="dxa"/>
            <w:gridSpan w:val="2"/>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主要研究方向</w:t>
            </w:r>
          </w:p>
        </w:tc>
        <w:tc>
          <w:tcPr>
            <w:tcW w:w="7772" w:type="dxa"/>
            <w:gridSpan w:val="9"/>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数字图像处理、机器视觉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793" w:hRule="exact"/>
          <w:jc w:val="center"/>
        </w:trPr>
        <w:tc>
          <w:tcPr>
            <w:tcW w:w="2221" w:type="dxa"/>
            <w:gridSpan w:val="3"/>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获教学成果奖项情况</w:t>
            </w:r>
          </w:p>
        </w:tc>
        <w:tc>
          <w:tcPr>
            <w:tcW w:w="7760" w:type="dxa"/>
            <w:gridSpan w:val="8"/>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2013年获省级教学成果二等奖2项；</w:t>
            </w:r>
          </w:p>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2018年获省级教学成果二等奖1项；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768" w:hRule="exact"/>
          <w:jc w:val="center"/>
        </w:trPr>
        <w:tc>
          <w:tcPr>
            <w:tcW w:w="2221" w:type="dxa"/>
            <w:gridSpan w:val="3"/>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获科研成果奖项情况</w:t>
            </w:r>
          </w:p>
        </w:tc>
        <w:tc>
          <w:tcPr>
            <w:tcW w:w="7760" w:type="dxa"/>
            <w:gridSpan w:val="8"/>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获发明专利1项，计算机软件著作权6项。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828" w:hRule="exact"/>
          <w:jc w:val="center"/>
        </w:trPr>
        <w:tc>
          <w:tcPr>
            <w:tcW w:w="2221" w:type="dxa"/>
            <w:gridSpan w:val="3"/>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目前承担教学项目情况</w:t>
            </w:r>
          </w:p>
        </w:tc>
        <w:tc>
          <w:tcPr>
            <w:tcW w:w="7760" w:type="dxa"/>
            <w:gridSpan w:val="8"/>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承担国家级和省部级教学研究项目2项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gridAfter w:val="1"/>
          <w:wAfter w:w="9" w:type="dxa"/>
          <w:trHeight w:val="768" w:hRule="exact"/>
          <w:jc w:val="center"/>
        </w:trPr>
        <w:tc>
          <w:tcPr>
            <w:tcW w:w="2221" w:type="dxa"/>
            <w:gridSpan w:val="3"/>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目前承担科研情况</w:t>
            </w:r>
          </w:p>
        </w:tc>
        <w:tc>
          <w:tcPr>
            <w:tcW w:w="7760" w:type="dxa"/>
            <w:gridSpan w:val="8"/>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承担省部级科研项目2项、企业委托项目2项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trHeight w:val="876" w:hRule="atLeast"/>
          <w:jc w:val="center"/>
        </w:trPr>
        <w:tc>
          <w:tcPr>
            <w:tcW w:w="2221" w:type="dxa"/>
            <w:gridSpan w:val="3"/>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近三年获得教学研究经费(万元</w:t>
            </w:r>
            <w:r>
              <w:rPr>
                <w:rFonts w:ascii="微软雅黑" w:hAnsi="微软雅黑" w:eastAsia="微软雅黑" w:cs="Times New Roman"/>
                <w:kern w:val="2"/>
                <w:sz w:val="21"/>
              </w:rPr>
              <w:t>)</w:t>
            </w:r>
          </w:p>
        </w:tc>
        <w:tc>
          <w:tcPr>
            <w:tcW w:w="3080" w:type="dxa"/>
            <w:gridSpan w:val="3"/>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10</w:t>
            </w:r>
          </w:p>
        </w:tc>
        <w:tc>
          <w:tcPr>
            <w:tcW w:w="1875" w:type="dxa"/>
            <w:gridSpan w:val="2"/>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近三年获得科学研究经费(万元</w:t>
            </w:r>
            <w:r>
              <w:rPr>
                <w:rFonts w:ascii="微软雅黑" w:hAnsi="微软雅黑" w:eastAsia="微软雅黑" w:cs="Times New Roman"/>
                <w:kern w:val="2"/>
                <w:sz w:val="21"/>
              </w:rPr>
              <w:t>)</w:t>
            </w:r>
          </w:p>
        </w:tc>
        <w:tc>
          <w:tcPr>
            <w:tcW w:w="2814" w:type="dxa"/>
            <w:gridSpan w:val="4"/>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Ex>
        <w:trPr>
          <w:trHeight w:val="874" w:hRule="atLeast"/>
          <w:jc w:val="center"/>
        </w:trPr>
        <w:tc>
          <w:tcPr>
            <w:tcW w:w="2221" w:type="dxa"/>
            <w:gridSpan w:val="3"/>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近三年给本科生授课(理论教学</w:t>
            </w:r>
            <w:r>
              <w:rPr>
                <w:rFonts w:ascii="微软雅黑" w:hAnsi="微软雅黑" w:eastAsia="微软雅黑" w:cs="Times New Roman"/>
                <w:kern w:val="2"/>
                <w:sz w:val="21"/>
              </w:rPr>
              <w:t>)</w:t>
            </w:r>
            <w:r>
              <w:rPr>
                <w:rFonts w:hint="eastAsia" w:ascii="微软雅黑" w:hAnsi="微软雅黑" w:eastAsia="微软雅黑" w:cs="Times New Roman"/>
                <w:kern w:val="2"/>
                <w:sz w:val="21"/>
              </w:rPr>
              <w:t>学时数</w:t>
            </w:r>
          </w:p>
        </w:tc>
        <w:tc>
          <w:tcPr>
            <w:tcW w:w="3080" w:type="dxa"/>
            <w:gridSpan w:val="3"/>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153</w:t>
            </w:r>
          </w:p>
        </w:tc>
        <w:tc>
          <w:tcPr>
            <w:tcW w:w="1875" w:type="dxa"/>
            <w:gridSpan w:val="2"/>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近三年指导本科毕业设计(人次</w:t>
            </w:r>
            <w:r>
              <w:rPr>
                <w:rFonts w:ascii="微软雅黑" w:hAnsi="微软雅黑" w:eastAsia="微软雅黑" w:cs="Times New Roman"/>
                <w:kern w:val="2"/>
                <w:sz w:val="21"/>
              </w:rPr>
              <w:t>）</w:t>
            </w:r>
          </w:p>
        </w:tc>
        <w:tc>
          <w:tcPr>
            <w:tcW w:w="2814" w:type="dxa"/>
            <w:gridSpan w:val="4"/>
            <w:tcBorders>
              <w:left w:val="single" w:color="auto" w:sz="4" w:space="0"/>
            </w:tcBorders>
            <w:vAlign w:val="center"/>
          </w:tcPr>
          <w:p>
            <w:pPr>
              <w:spacing w:after="0" w:line="240" w:lineRule="auto"/>
              <w:rPr>
                <w:rFonts w:ascii="微软雅黑" w:hAnsi="微软雅黑" w:eastAsia="微软雅黑" w:cs="Times New Roman"/>
                <w:kern w:val="2"/>
                <w:sz w:val="21"/>
              </w:rPr>
            </w:pPr>
            <w:r>
              <w:rPr>
                <w:rFonts w:hint="eastAsia" w:ascii="微软雅黑" w:hAnsi="微软雅黑" w:eastAsia="微软雅黑" w:cs="Times New Roman"/>
                <w:kern w:val="2"/>
                <w:sz w:val="21"/>
              </w:rPr>
              <w:t>17</w:t>
            </w:r>
          </w:p>
        </w:tc>
      </w:tr>
    </w:tbl>
    <w:p>
      <w:pPr>
        <w:spacing w:after="0"/>
        <w:rPr>
          <w:rFonts w:ascii="微软雅黑" w:hAnsi="微软雅黑" w:eastAsia="微软雅黑" w:cs="微软雅黑"/>
          <w:sz w:val="24"/>
        </w:rPr>
      </w:pPr>
    </w:p>
    <w:p>
      <w:pPr>
        <w:spacing w:after="0"/>
        <w:rPr>
          <w:rFonts w:ascii="微软雅黑" w:hAnsi="微软雅黑" w:eastAsia="微软雅黑" w:cs="微软雅黑"/>
          <w:sz w:val="24"/>
        </w:rPr>
      </w:pPr>
    </w:p>
    <w:p>
      <w:pPr>
        <w:spacing w:after="0"/>
        <w:rPr>
          <w:rFonts w:ascii="微软雅黑" w:hAnsi="微软雅黑" w:eastAsia="微软雅黑"/>
        </w:rPr>
      </w:pPr>
      <w:r>
        <w:rPr>
          <w:rFonts w:ascii="微软雅黑" w:hAnsi="微软雅黑" w:eastAsia="微软雅黑" w:cs="微软雅黑"/>
          <w:sz w:val="24"/>
        </w:rPr>
        <w:t>注：填写三至五人，只填本专业专任教师，每人一表。</w:t>
      </w:r>
      <w:r>
        <w:rPr>
          <w:rFonts w:ascii="微软雅黑" w:hAnsi="微软雅黑" w:eastAsia="微软雅黑" w:cs="Times New Roman"/>
          <w:sz w:val="24"/>
        </w:rPr>
        <w:t xml:space="preserve">  </w:t>
      </w:r>
    </w:p>
    <w:p>
      <w:r>
        <w:br w:type="page"/>
      </w:r>
    </w:p>
    <w:p>
      <w:pPr>
        <w:pStyle w:val="3"/>
        <w:ind w:right="3240"/>
      </w:pPr>
      <w:r>
        <w:t xml:space="preserve">6.教学条件情况表 </w:t>
      </w:r>
    </w:p>
    <w:tbl>
      <w:tblPr>
        <w:tblStyle w:val="14"/>
        <w:tblW w:w="9573" w:type="dxa"/>
        <w:tblInd w:w="-31" w:type="dxa"/>
        <w:tblLayout w:type="fixed"/>
        <w:tblCellMar>
          <w:top w:w="38" w:type="dxa"/>
          <w:left w:w="108" w:type="dxa"/>
          <w:bottom w:w="0" w:type="dxa"/>
          <w:right w:w="0" w:type="dxa"/>
        </w:tblCellMar>
      </w:tblPr>
      <w:tblGrid>
        <w:gridCol w:w="2945"/>
        <w:gridCol w:w="1839"/>
        <w:gridCol w:w="2979"/>
        <w:gridCol w:w="1810"/>
      </w:tblGrid>
      <w:tr>
        <w:tblPrEx>
          <w:tblLayout w:type="fixed"/>
          <w:tblCellMar>
            <w:top w:w="38" w:type="dxa"/>
            <w:left w:w="108" w:type="dxa"/>
            <w:bottom w:w="0" w:type="dxa"/>
            <w:right w:w="0" w:type="dxa"/>
          </w:tblCellMar>
        </w:tblPrEx>
        <w:trPr>
          <w:trHeight w:val="634" w:hRule="atLeast"/>
        </w:trPr>
        <w:tc>
          <w:tcPr>
            <w:tcW w:w="2945" w:type="dxa"/>
            <w:tcBorders>
              <w:top w:val="single" w:color="000000" w:sz="4" w:space="0"/>
              <w:left w:val="single" w:color="000000" w:sz="4" w:space="0"/>
              <w:bottom w:val="single" w:color="000000" w:sz="4" w:space="0"/>
              <w:right w:val="single" w:color="000000" w:sz="4" w:space="0"/>
            </w:tcBorders>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可用于该专业的教学实验设备总价值（万元） </w:t>
            </w:r>
          </w:p>
        </w:tc>
        <w:tc>
          <w:tcPr>
            <w:tcW w:w="183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3880.170696</w:t>
            </w:r>
          </w:p>
        </w:tc>
        <w:tc>
          <w:tcPr>
            <w:tcW w:w="2979" w:type="dxa"/>
            <w:tcBorders>
              <w:top w:val="single" w:color="000000" w:sz="4" w:space="0"/>
              <w:left w:val="single" w:color="000000" w:sz="4" w:space="0"/>
              <w:bottom w:val="single" w:color="000000" w:sz="4" w:space="0"/>
              <w:right w:val="single" w:color="000000" w:sz="4" w:space="0"/>
            </w:tcBorders>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可用于该专业的教学实验设备数量（千元以上） </w:t>
            </w:r>
          </w:p>
        </w:tc>
        <w:tc>
          <w:tcPr>
            <w:tcW w:w="1810"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879</w:t>
            </w:r>
          </w:p>
        </w:tc>
      </w:tr>
      <w:tr>
        <w:tblPrEx>
          <w:tblLayout w:type="fixed"/>
          <w:tblCellMar>
            <w:top w:w="38" w:type="dxa"/>
            <w:left w:w="108" w:type="dxa"/>
            <w:bottom w:w="0" w:type="dxa"/>
            <w:right w:w="0" w:type="dxa"/>
          </w:tblCellMar>
        </w:tblPrEx>
        <w:trPr>
          <w:trHeight w:val="566" w:hRule="atLeast"/>
        </w:trPr>
        <w:tc>
          <w:tcPr>
            <w:tcW w:w="294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开办经费及来源 </w:t>
            </w:r>
          </w:p>
        </w:tc>
        <w:tc>
          <w:tcPr>
            <w:tcW w:w="6628" w:type="dxa"/>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财政拨款，省教育厅</w:t>
            </w:r>
          </w:p>
        </w:tc>
      </w:tr>
      <w:tr>
        <w:tblPrEx>
          <w:tblLayout w:type="fixed"/>
          <w:tblCellMar>
            <w:top w:w="38" w:type="dxa"/>
            <w:left w:w="108" w:type="dxa"/>
            <w:bottom w:w="0" w:type="dxa"/>
            <w:right w:w="0" w:type="dxa"/>
          </w:tblCellMar>
        </w:tblPrEx>
        <w:trPr>
          <w:trHeight w:val="566" w:hRule="atLeast"/>
        </w:trPr>
        <w:tc>
          <w:tcPr>
            <w:tcW w:w="294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生均年教学日常支出（元） </w:t>
            </w:r>
          </w:p>
        </w:tc>
        <w:tc>
          <w:tcPr>
            <w:tcW w:w="6628" w:type="dxa"/>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300</w:t>
            </w:r>
          </w:p>
        </w:tc>
      </w:tr>
      <w:tr>
        <w:tblPrEx>
          <w:tblLayout w:type="fixed"/>
          <w:tblCellMar>
            <w:top w:w="38" w:type="dxa"/>
            <w:left w:w="108" w:type="dxa"/>
            <w:bottom w:w="0" w:type="dxa"/>
            <w:right w:w="0" w:type="dxa"/>
          </w:tblCellMar>
        </w:tblPrEx>
        <w:trPr>
          <w:trHeight w:val="634" w:hRule="atLeast"/>
        </w:trPr>
        <w:tc>
          <w:tcPr>
            <w:tcW w:w="2945" w:type="dxa"/>
            <w:tcBorders>
              <w:top w:val="single" w:color="000000" w:sz="4" w:space="0"/>
              <w:left w:val="single" w:color="000000" w:sz="4" w:space="0"/>
              <w:bottom w:val="single" w:color="000000" w:sz="4" w:space="0"/>
              <w:right w:val="single" w:color="000000" w:sz="6" w:space="0"/>
            </w:tcBorders>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实践教学基地（个） </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（请上传合作协议等） </w:t>
            </w:r>
          </w:p>
        </w:tc>
        <w:tc>
          <w:tcPr>
            <w:tcW w:w="6628" w:type="dxa"/>
            <w:gridSpan w:val="3"/>
            <w:tcBorders>
              <w:top w:val="single" w:color="000000" w:sz="4" w:space="0"/>
              <w:left w:val="single" w:color="000000" w:sz="6"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w:t>
            </w:r>
          </w:p>
        </w:tc>
      </w:tr>
      <w:tr>
        <w:tblPrEx>
          <w:tblLayout w:type="fixed"/>
          <w:tblCellMar>
            <w:top w:w="38" w:type="dxa"/>
            <w:left w:w="108" w:type="dxa"/>
            <w:bottom w:w="0" w:type="dxa"/>
            <w:right w:w="0" w:type="dxa"/>
          </w:tblCellMar>
        </w:tblPrEx>
        <w:trPr>
          <w:trHeight w:val="636" w:hRule="atLeast"/>
        </w:trPr>
        <w:tc>
          <w:tcPr>
            <w:tcW w:w="2945" w:type="dxa"/>
            <w:tcBorders>
              <w:top w:val="single" w:color="000000" w:sz="4" w:space="0"/>
              <w:left w:val="single" w:color="000000" w:sz="4" w:space="0"/>
              <w:bottom w:val="single" w:color="000000" w:sz="4" w:space="0"/>
              <w:right w:val="single" w:color="000000" w:sz="6" w:space="0"/>
            </w:tcBorders>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 xml:space="preserve">教学条件建设规划及保障措施 </w:t>
            </w:r>
          </w:p>
        </w:tc>
        <w:tc>
          <w:tcPr>
            <w:tcW w:w="6628" w:type="dxa"/>
            <w:gridSpan w:val="3"/>
            <w:tcBorders>
              <w:top w:val="single" w:color="000000" w:sz="4" w:space="0"/>
              <w:left w:val="single" w:color="000000" w:sz="6" w:space="0"/>
              <w:bottom w:val="single" w:color="000000" w:sz="4" w:space="0"/>
              <w:right w:val="single" w:color="000000" w:sz="4" w:space="0"/>
            </w:tcBorders>
            <w:vAlign w:val="center"/>
          </w:tcPr>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1、组织管理与保障。成立相应的领导组、指导组，加强课程的实施管理与保障。</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2、制度保证。制定课程审议制度，教学管理条例，教师培训制度、校内评价制度，校内课程管理职责，激励制度。</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3、课程计划管理。学校制订《校本课程开发方案》，并在每学年实施前递交上级主管部门审议。每学年的8月底前为校本课程开发准备工作时间，在这一段时间，学校校本课程进行需求评估调查、制定方案、培训教师等准备性工作，9月份正式实施。</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4、课程实施管理。校本课程在实施过程中要充分体现学生学习活动的自主性、探索性、创新性；学习方式的活动性、实践性、综合性;教学过程的情境性、合作性、建构性；教授方式的灵活性、针对性、创造性。保证各类课程的合理比例，充分发挥它们对学生发展的不同价值。</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5、教师管理上，以备课组、教研组为单位，联合开发管理。</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6、教材管理。校本课程领域可选用教师指导用书，可为学生提供必要的操作材料或活动器材，原则上不允许要求学生购买人手一册的教科书或资料。</w:t>
            </w:r>
          </w:p>
          <w:p>
            <w:pPr>
              <w:spacing w:after="0" w:line="240" w:lineRule="auto"/>
              <w:rPr>
                <w:rFonts w:ascii="微软雅黑" w:hAnsi="微软雅黑" w:eastAsia="微软雅黑" w:cs="Times New Roman"/>
                <w:kern w:val="2"/>
                <w:sz w:val="21"/>
              </w:rPr>
            </w:pPr>
            <w:r>
              <w:rPr>
                <w:rFonts w:ascii="微软雅黑" w:hAnsi="微软雅黑" w:eastAsia="微软雅黑" w:cs="Times New Roman"/>
                <w:kern w:val="2"/>
                <w:sz w:val="21"/>
              </w:rPr>
              <w:t>7、课程评价管理。要建立和完善课程评价制度，每学年必须审定一次校本课程，以不断改进校本课程的开发与实施。对学生的学习情况评价要纳入学生档案管理。</w:t>
            </w:r>
          </w:p>
        </w:tc>
      </w:tr>
    </w:tbl>
    <w:p>
      <w:pPr>
        <w:spacing w:after="0"/>
        <w:ind w:right="3029"/>
        <w:jc w:val="right"/>
        <w:rPr>
          <w:rFonts w:ascii="微软雅黑" w:hAnsi="微软雅黑" w:eastAsia="微软雅黑"/>
        </w:rPr>
      </w:pPr>
      <w:r>
        <w:rPr>
          <w:rFonts w:ascii="微软雅黑" w:hAnsi="微软雅黑" w:eastAsia="微软雅黑" w:cs="微软雅黑"/>
          <w:sz w:val="30"/>
        </w:rPr>
        <w:t xml:space="preserve">主要教学实验设备情况表 </w:t>
      </w:r>
    </w:p>
    <w:p>
      <w:pPr>
        <w:spacing w:after="91"/>
        <w:ind w:left="613"/>
        <w:jc w:val="center"/>
        <w:rPr>
          <w:rFonts w:ascii="微软雅黑" w:hAnsi="微软雅黑" w:eastAsia="微软雅黑"/>
        </w:rPr>
      </w:pPr>
      <w:r>
        <w:rPr>
          <w:rFonts w:ascii="微软雅黑" w:hAnsi="微软雅黑" w:eastAsia="微软雅黑" w:cs="Times New Roman"/>
          <w:sz w:val="24"/>
        </w:rPr>
        <w:t xml:space="preserve"> </w:t>
      </w:r>
    </w:p>
    <w:tbl>
      <w:tblPr>
        <w:tblStyle w:val="14"/>
        <w:tblW w:w="9573" w:type="dxa"/>
        <w:tblInd w:w="-31" w:type="dxa"/>
        <w:tblLayout w:type="fixed"/>
        <w:tblCellMar>
          <w:top w:w="0" w:type="dxa"/>
          <w:left w:w="108" w:type="dxa"/>
          <w:bottom w:w="0" w:type="dxa"/>
          <w:right w:w="0" w:type="dxa"/>
        </w:tblCellMar>
      </w:tblPr>
      <w:tblGrid>
        <w:gridCol w:w="2148"/>
        <w:gridCol w:w="2188"/>
        <w:gridCol w:w="1685"/>
        <w:gridCol w:w="1691"/>
        <w:gridCol w:w="1861"/>
      </w:tblGrid>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教学实验设备名称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型号规格</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数量</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购入时间</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设备价值（千元）</w:t>
            </w:r>
          </w:p>
        </w:tc>
      </w:tr>
      <w:tr>
        <w:tblPrEx>
          <w:tblLayout w:type="fixed"/>
          <w:tblCellMar>
            <w:top w:w="0" w:type="dxa"/>
            <w:left w:w="108" w:type="dxa"/>
            <w:bottom w:w="0" w:type="dxa"/>
            <w:right w:w="0" w:type="dxa"/>
          </w:tblCellMar>
        </w:tblPrEx>
        <w:trPr>
          <w:trHeight w:val="500"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二踪示波器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YB4324</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3.18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仿真器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EasgPAck-16F</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4.4</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组成原理</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DAIS－CMB＋</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2.8</w:t>
            </w:r>
          </w:p>
        </w:tc>
      </w:tr>
      <w:tr>
        <w:tblPrEx>
          <w:tblLayout w:type="fixed"/>
          <w:tblCellMar>
            <w:top w:w="0" w:type="dxa"/>
            <w:left w:w="108" w:type="dxa"/>
            <w:bottom w:w="0" w:type="dxa"/>
            <w:right w:w="0" w:type="dxa"/>
          </w:tblCellMar>
        </w:tblPrEx>
        <w:trPr>
          <w:trHeight w:val="480"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编程器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RF－1848USB</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开发系统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RSDDK－800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慧鱼创意组合模型</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单片机实验仪</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Dais-958H+</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模拟电路实验箱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Dais-A5B</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A-中心交换机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203.368</w:t>
            </w:r>
          </w:p>
        </w:tc>
      </w:tr>
      <w:tr>
        <w:tblPrEx>
          <w:tblLayout w:type="fixed"/>
          <w:tblCellMar>
            <w:top w:w="0" w:type="dxa"/>
            <w:left w:w="108" w:type="dxa"/>
            <w:bottom w:w="0" w:type="dxa"/>
            <w:right w:w="0" w:type="dxa"/>
          </w:tblCellMar>
        </w:tblPrEx>
        <w:trPr>
          <w:trHeight w:val="480"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数字存贮示波器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DS5062CA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6.783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数码摄像机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Sony DCR-PC350E</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11.6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多媒体点播系统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LANSTAR VOD8.1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外部存储器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HP MSA30-S-B</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52.88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实验板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ARM2200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数码相机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DSC-F828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媒体服务器系统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DL380G4</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77.85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车型机器人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111.3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微机实验仪</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SXL-100B+</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数字万用表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UT804</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数字示波器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DS1102CD</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函数信号发生器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SPF20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稳压电源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EM1715A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ARM开发板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ARM44BOX</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仿人机器人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四轮全向自主移动机器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DM-B450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六自由度工业机器人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DMP-P624-V1-J1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类人机器人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HGR-3HV-C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微机原理实验箱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超想-3000TC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KHEPERA Ⅱ</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智能机器人套件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BIOLOID完整版</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智能机器人套件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BIOLOID专家版</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全景视觉处理系统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2010.9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44.0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机器人视觉系统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CMUCAM</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多媒体投影机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HCP6680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11.75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音响</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A.UCS-350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0.727</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工业彩色相机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VS-870HC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图像采集处理卡</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MV-8800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2.45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全方位云台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MV-3939S</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镜头控制器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MV-2003</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三角支架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FT6307</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工业数字相机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MV-VD036SM</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工业镜头</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M0814-MP</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机器视觉实验台架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MV-BR300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机器视觉图像处理机器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MV-VS800F</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黑白工业数字相机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MV-130UM</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工业变倍镜头</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VS-M0660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机器视觉实验台架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MV-BR300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工业变倍放大镜头</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VS-M0910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连续变倍放大镜头</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VS-M1023</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VS-RD200R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VS-RD200W</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机器视觉背光源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VS-BL200R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机器视觉背光源控制器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VS-D24</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机器视觉条型白光源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MV-WL200W</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机器视觉小条型红光源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MV-WL100R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机器视觉图像处理平台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MV-VS860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22.5</w:t>
            </w:r>
          </w:p>
        </w:tc>
      </w:tr>
      <w:tr>
        <w:tblPrEx>
          <w:tblLayout w:type="fixed"/>
          <w:tblCellMar>
            <w:top w:w="0" w:type="dxa"/>
            <w:left w:w="108" w:type="dxa"/>
            <w:bottom w:w="0" w:type="dxa"/>
            <w:right w:w="0" w:type="dxa"/>
          </w:tblCellMar>
        </w:tblPrEx>
        <w:trPr>
          <w:trHeight w:val="514"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工业高清图像采集卡</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MV-800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工业高清图像采集盒</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MV-U2000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小型彩色高清工业相机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VS-808HC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小型黑白高清工业相机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VS-808H</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机器视觉全方位云台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MV-3939</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机器视觉云台控制器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MV-2001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机器视觉LED光源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VS-RL100R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0.55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机器视觉LED光源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VS-RL100W</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2012.6</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0.55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机器视觉实验测试台架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类人机器人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METAL-FIGHTER-AI3</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22.88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安防控制系统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HK-8016HC（带音频）</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45.378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家庭机器人教育平台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智能118EB</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智能家居实验箱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UBI-HomeNet</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39.0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嵌入式视觉模块</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Robocar-Embedded Vis</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三轮全向机器人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DM-G322-OU-A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129.0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教学机器人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NAD 001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165.0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过程控制教学实验系统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up-cup S2410/P270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ARM开发板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Micro2440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SOPC开发板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DE1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体系结构教学科研系统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CVT-PXA270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11.0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DS1052E</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逻辑分析仪模块</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LA1232</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3.32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位置传感器及5v变送器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HKT22</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力传感器及到5v变送器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XMLA004A2S11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触觉传感器及到5v变送器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QT113-D</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普通示波器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DS1102D</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仪用可调直流稳压电源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DF1731SLL</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频谱仪</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DSA1020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BGA视觉贴装系统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CREATE-MTP2000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函数/任意波形发生器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33220A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13.623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多媒体投影系统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PT-BX30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9.7</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双目动态物体跟踪识别系统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28.48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双目立体视觉定位测量实验系统平</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空间物体位置姿态测量实验系统平台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54.21</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机器人视觉测量检测系统实验平台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21.15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机器视觉缺陷监测系统实验平台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22.1</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机器视觉识别定位系统实验平台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20.55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机器视觉运动控制监测实验平台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53.71</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文件服务器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DELL R510机架式服务</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27.3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数字示波器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DS1120D</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2013.7</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多媒体中控</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M3000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多媒体教学投影设备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BX30  3500流明</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9.125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电路板制作套件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PCB220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函数/任意波形发生器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YB3040A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机器人开发套件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MX-28T</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98.67</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计算机组成原理试验箱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Dais-CMX08+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三维定位平台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18.1</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虚拟化仿真服务器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R720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27.25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计算机软件测试设备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Ipad3</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计算机软件测试设备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nexue 7</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计算机软件测试设备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lumia 920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计算机软件测试设备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surface pro 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多媒体投影机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松下PT-X600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实验开发板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OK6410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移动工作站</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联想TinPadW530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物联网教学科研平台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CVT-WSN-S</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两轮教育机器人套件(C51)</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C51+AVR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1.324</w:t>
            </w:r>
          </w:p>
        </w:tc>
      </w:tr>
      <w:tr>
        <w:tblPrEx>
          <w:tblLayout w:type="fixed"/>
          <w:tblCellMar>
            <w:top w:w="0" w:type="dxa"/>
            <w:left w:w="108" w:type="dxa"/>
            <w:bottom w:w="0" w:type="dxa"/>
            <w:right w:w="0" w:type="dxa"/>
          </w:tblCellMar>
        </w:tblPrEx>
        <w:trPr>
          <w:trHeight w:val="501"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两轮教育机器人套件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 Coretex M3</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龙人机械手</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含机器人语言软件</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4.206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CMUcam摄像头</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1.665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类人型机器人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Darwin-OP</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91.0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清扫机器人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爱乐优机器人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3.236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智能轮椅</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2014.9</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全向移动机器人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无线监控机器人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27.0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17.0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物联网教学科研平台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CVT-WSN-S</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两轮教育机器人套件(C51)</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C51+AVR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1.324</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两轮教育机器人套件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 Coretex M3</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49</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CMUcam摄像头</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1.665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无线监控机器人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类人型机器人升级组件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NAO Next Gen</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多媒体投影系统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HCP-7100X</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29.0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多媒体投影系统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HCP-6680X</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16.0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无线测温系统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单模SFP</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96.5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计算机组成原理实验箱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Dais-CMX08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模拟电子技术实验箱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DICE-A9</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36</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信号发生器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RIGOL　DG1022U任意波</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RIGOL　DS1052E</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智能竞赛机器人平台(HuroSot小型</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Darwin-OP　with　FSR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71.4125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智能竞赛机器人平台(HuroSot大型</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NimbRo-OP　with　FSR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218.0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智能竞赛机器人平台升级组件(And</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Bioloid　Update　Pac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32.0375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DYNAMIXEL　MX-106R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21.689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DYNAMIXEL　MX-64R　6</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13.128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DYNAMIXEL　MX-28R　6</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9.617</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移动机器人自主规划能力检测系统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70.6</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多角度机器视觉创新图像处理软件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28.2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服务机器人开发平台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X2BOT+UTM-30LX-EW</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125.8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头戴显示器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HMZ-T3W</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7.1</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头戴显示器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RIFT DK2</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多媒体控制台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服务机器人平台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工业相机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ibage</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2.75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监控系统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12.794</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交互式电子白板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PLUS N-20SR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计算机组成原理实验箱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TEC-8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3D打印机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UP！Plus　2</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数字逻辑实验箱</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SG6930A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2015.4</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小型机服务器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DELL R720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29.95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移动数据采集终端</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Calacy S6</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脑波传感仪</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ThinkGear ASIC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大型仿人机器人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255.0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2D激光雷达</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URG-04LX</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12.0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智能眼镜</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Google Glass 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14.0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串行智能舵机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AX-18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串行智能舵机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MX-28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工业级舵机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H54-200-S500-R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22.2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飞行机器人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3DR IRIS</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高性能多轴飞行系统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S1000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体感追踪设备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Kinect for Windows 2</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w:t>
            </w:r>
          </w:p>
        </w:tc>
      </w:tr>
      <w:tr>
        <w:tblPrEx>
          <w:tblLayout w:type="fixed"/>
          <w:tblCellMar>
            <w:top w:w="0" w:type="dxa"/>
            <w:left w:w="108" w:type="dxa"/>
            <w:bottom w:w="0" w:type="dxa"/>
            <w:right w:w="0" w:type="dxa"/>
          </w:tblCellMar>
        </w:tblPrEx>
        <w:trPr>
          <w:trHeight w:val="487"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脑波传感仪</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ThinkGear ASIC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焊接成套设备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HWCT</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机器人门架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HWMJ</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PLC控制系统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DX200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工装夹具</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HWJJ</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2吨叉车</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HWCC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ARM开发设备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BB-BBLK-000-REVC-ND</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开发显示设备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LED58K220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MSO2202A</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信号源</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DG1062Z</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6.0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焊接机器人成套装备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M-10iANBM-500RLGK-20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开发显示设备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LED58K220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焊接机器人成套装备</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MA1900 NEM-500R</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989.0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竞赛用笔记本电脑</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DELL XPS I3-9350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7.999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竞赛用笔记本</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DELL XPS I5-9550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9.999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激光焊接系统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JGHJ-1000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198.0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激光切割系统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JGQG-1000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2016.2</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198.0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精密三维移动工作台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HT-3D</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76.0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智能控制系统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SLS ARC 30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分屏切换器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CKL-9116U</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应用服务器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PowerdrEdge T110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移动服务器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Think X1</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18.083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多媒体投影机系统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CB-965H</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7.8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LTE物理层算法包</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107.0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数字高清摄像机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AXP35</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9.85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电极帽(Neuroscan STIM系统)</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QUIK-CAP37</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ARM11平台嵌入式开发套件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UP-ARMII</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0.8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物联网应用教学科研平台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UP-MOBNET-A9-I</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RFID高级教学科研平台</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UP-RFID-S</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8.0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图像工作站</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戴尔XPS15-1845</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15.62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联想工作站（服务器）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联想 Y900</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9.99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结构化视频获取服务器及支架</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i7/7700cpu,GTX1080 8</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10.0</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高分辨率显示器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4K分辨率U28H750UQC</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3.599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移动工作站</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戴尔precision7520 15</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28.9</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DSP仿真器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1.3</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DSP开发板</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SEED-DEC6437</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4.5</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信号发生器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泰克 AFG1062</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2017.8</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5.8</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示波器</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2018.5</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4.2</w:t>
            </w:r>
          </w:p>
        </w:tc>
      </w:tr>
      <w:tr>
        <w:tblPrEx>
          <w:tblLayout w:type="fixed"/>
          <w:tblCellMar>
            <w:top w:w="0" w:type="dxa"/>
            <w:left w:w="108" w:type="dxa"/>
            <w:bottom w:w="0" w:type="dxa"/>
            <w:right w:w="0" w:type="dxa"/>
          </w:tblCellMar>
        </w:tblPrEx>
        <w:trPr>
          <w:trHeight w:val="478" w:hRule="atLeast"/>
        </w:trPr>
        <w:tc>
          <w:tcPr>
            <w:tcW w:w="214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大疆（DJI）精灵4智能避障无人机</w:t>
            </w:r>
          </w:p>
        </w:tc>
        <w:tc>
          <w:tcPr>
            <w:tcW w:w="218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大疆 Phantom 4</w:t>
            </w:r>
          </w:p>
        </w:tc>
        <w:tc>
          <w:tcPr>
            <w:tcW w:w="168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1</w:t>
            </w:r>
          </w:p>
        </w:tc>
        <w:tc>
          <w:tcPr>
            <w:tcW w:w="169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2018.5</w:t>
            </w:r>
          </w:p>
        </w:tc>
        <w:tc>
          <w:tcPr>
            <w:tcW w:w="186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cs="Times New Roman"/>
                <w:kern w:val="2"/>
                <w:sz w:val="21"/>
              </w:rPr>
            </w:pPr>
            <w:r>
              <w:rPr>
                <w:rFonts w:ascii="微软雅黑" w:hAnsi="微软雅黑" w:eastAsia="微软雅黑" w:cs="Times New Roman"/>
                <w:kern w:val="2"/>
                <w:sz w:val="21"/>
              </w:rPr>
              <w:t>9.944</w:t>
            </w:r>
          </w:p>
        </w:tc>
      </w:tr>
    </w:tbl>
    <w:p>
      <w:pPr>
        <w:spacing w:after="91"/>
        <w:ind w:left="613"/>
        <w:jc w:val="center"/>
        <w:rPr>
          <w:rFonts w:ascii="微软雅黑" w:hAnsi="微软雅黑" w:eastAsia="微软雅黑"/>
        </w:rPr>
      </w:pPr>
    </w:p>
    <w:p>
      <w:pPr>
        <w:spacing w:after="0"/>
        <w:ind w:left="77"/>
        <w:rPr>
          <w:rFonts w:ascii="微软雅黑" w:hAnsi="微软雅黑" w:eastAsia="微软雅黑"/>
        </w:rPr>
      </w:pPr>
      <w:r>
        <w:rPr>
          <w:rFonts w:ascii="微软雅黑" w:hAnsi="微软雅黑" w:eastAsia="微软雅黑" w:cs="Times New Roman"/>
          <w:sz w:val="24"/>
        </w:rPr>
        <w:t xml:space="preserve"> </w:t>
      </w:r>
      <w:r>
        <w:rPr>
          <w:rFonts w:ascii="微软雅黑" w:hAnsi="微软雅黑" w:eastAsia="微软雅黑" w:cs="Times New Roman"/>
          <w:sz w:val="24"/>
        </w:rPr>
        <w:tab/>
      </w:r>
      <w:r>
        <w:rPr>
          <w:rFonts w:ascii="微软雅黑" w:hAnsi="微软雅黑" w:eastAsia="微软雅黑" w:cs="Times New Roman"/>
          <w:sz w:val="24"/>
        </w:rPr>
        <w:t xml:space="preserve"> </w:t>
      </w:r>
    </w:p>
    <w:p>
      <w:pPr>
        <w:rPr>
          <w:rFonts w:ascii="微软雅黑" w:hAnsi="微软雅黑" w:eastAsia="微软雅黑" w:cs="微软雅黑"/>
          <w:sz w:val="36"/>
        </w:rPr>
      </w:pPr>
      <w:r>
        <w:br w:type="page"/>
      </w:r>
    </w:p>
    <w:p>
      <w:pPr>
        <w:pStyle w:val="3"/>
        <w:ind w:left="82" w:right="0"/>
        <w:jc w:val="center"/>
      </w:pPr>
      <w:r>
        <w:t xml:space="preserve">7.申请增设专业的理由和基础 </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微软雅黑" w:hAnsi="微软雅黑" w:eastAsia="微软雅黑" w:cs="微软雅黑"/>
          <w:sz w:val="24"/>
        </w:rPr>
      </w:pPr>
      <w:r>
        <w:rPr>
          <w:rFonts w:ascii="微软雅黑" w:hAnsi="微软雅黑" w:eastAsia="微软雅黑" w:cs="微软雅黑"/>
          <w:sz w:val="24"/>
        </w:rPr>
        <w:t>（应包括申请增设专业的主要理由、支撑该专业发展的学科基础、学校专业发展规划等方面的内容）（如需要可加页）</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b/>
          <w:bCs/>
          <w:sz w:val="21"/>
        </w:rPr>
      </w:pPr>
      <w:r>
        <w:rPr>
          <w:rFonts w:hint="eastAsia" w:ascii="宋体" w:hAnsi="宋体" w:eastAsia="宋体" w:cs="Times New Roman"/>
          <w:b/>
          <w:bCs/>
          <w:sz w:val="21"/>
        </w:rPr>
        <w:t>一、申请专业的主要理由</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b/>
          <w:bCs/>
          <w:sz w:val="21"/>
        </w:rPr>
      </w:pPr>
      <w:r>
        <w:rPr>
          <w:rFonts w:ascii="微软雅黑" w:hAnsi="微软雅黑" w:eastAsia="微软雅黑" w:cs="Times New Roman"/>
          <w:sz w:val="21"/>
        </w:rPr>
        <w:t xml:space="preserve"> (</w:t>
      </w:r>
      <w:r>
        <w:rPr>
          <w:rFonts w:hint="eastAsia" w:ascii="宋体" w:hAnsi="宋体" w:eastAsia="宋体" w:cs="Times New Roman"/>
          <w:b/>
          <w:bCs/>
          <w:sz w:val="21"/>
        </w:rPr>
        <w:t>1</w:t>
      </w:r>
      <w:r>
        <w:rPr>
          <w:rFonts w:ascii="微软雅黑" w:hAnsi="微软雅黑" w:eastAsia="微软雅黑" w:cs="Times New Roman"/>
          <w:sz w:val="21"/>
        </w:rPr>
        <w:t>)</w:t>
      </w:r>
      <w:r>
        <w:rPr>
          <w:rFonts w:hint="eastAsia" w:ascii="宋体" w:hAnsi="宋体" w:eastAsia="宋体" w:cs="Times New Roman"/>
          <w:b/>
          <w:bCs/>
          <w:sz w:val="21"/>
        </w:rPr>
        <w:t>、设置人工智能专业的政策背景</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2019</w:t>
      </w:r>
      <w:r>
        <w:rPr>
          <w:rFonts w:hint="eastAsia" w:ascii="宋体" w:hAnsi="宋体" w:eastAsia="宋体" w:cs="Times New Roman"/>
          <w:sz w:val="21"/>
        </w:rPr>
        <w:t>年</w:t>
      </w:r>
      <w:r>
        <w:rPr>
          <w:rFonts w:ascii="宋体" w:hAnsi="宋体" w:eastAsia="宋体" w:cs="Times New Roman"/>
          <w:sz w:val="21"/>
        </w:rPr>
        <w:t>5</w:t>
      </w:r>
      <w:r>
        <w:rPr>
          <w:rFonts w:hint="eastAsia" w:ascii="宋体" w:hAnsi="宋体" w:eastAsia="宋体" w:cs="Times New Roman"/>
          <w:sz w:val="21"/>
        </w:rPr>
        <w:t>月</w:t>
      </w:r>
      <w:r>
        <w:rPr>
          <w:rFonts w:ascii="宋体" w:hAnsi="宋体" w:eastAsia="宋体" w:cs="Times New Roman"/>
          <w:sz w:val="21"/>
        </w:rPr>
        <w:t>16</w:t>
      </w:r>
      <w:r>
        <w:rPr>
          <w:rFonts w:hint="eastAsia" w:ascii="宋体" w:hAnsi="宋体" w:eastAsia="宋体" w:cs="Times New Roman"/>
          <w:sz w:val="21"/>
        </w:rPr>
        <w:t>日，第三届世界智能大会在天津开幕，国家主席习近平在贺信中指出，当前，由人工智能引领的新一轮科技革命和产业变革方兴未艾。在移动互联网、大数据、超级计算、传感网、脑科学等新理论新技术驱动下，人工智能呈现深度学习、跨界融合、人机协同、群智开放、自主操控等新特征，正在对经济发展、社会进步、全球治理等方面产生重大而深远的影响。中国高度重视创新发展，把新一代人工智能作为推动科技跨越发展、产业优化升级、生产力整体跃升的驱动力量，努力实现高质量发展。</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国务院总理李克强</w:t>
      </w:r>
      <w:r>
        <w:rPr>
          <w:rFonts w:ascii="宋体" w:hAnsi="宋体" w:eastAsia="宋体" w:cs="Times New Roman"/>
          <w:sz w:val="21"/>
        </w:rPr>
        <w:t>2015</w:t>
      </w:r>
      <w:r>
        <w:rPr>
          <w:rFonts w:hint="eastAsia" w:ascii="宋体" w:hAnsi="宋体" w:eastAsia="宋体" w:cs="Times New Roman"/>
          <w:sz w:val="21"/>
        </w:rPr>
        <w:t>年在十二届全国人大三次会议的政府工作报告中提出：“人工智能技术将为基于互联网和移动互联网等领域的创新应用提供核心基础。未来人工智能技术将进一步推动关联技术和新兴科技、新兴产业的深度融合，推动新一轮的信息技术革命，势必将成为我国经济结构转型升级的新支点。”这是从国家和政府层面对人工智能技术的重要作用给予的充分肯定。</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ascii="宋体" w:hAnsi="宋体" w:eastAsia="宋体" w:cs="Times New Roman"/>
          <w:sz w:val="21"/>
        </w:rPr>
        <w:t xml:space="preserve">    2016</w:t>
      </w:r>
      <w:r>
        <w:rPr>
          <w:rFonts w:hint="eastAsia" w:ascii="宋体" w:hAnsi="宋体" w:eastAsia="宋体" w:cs="Times New Roman"/>
          <w:sz w:val="21"/>
        </w:rPr>
        <w:t>年</w:t>
      </w:r>
      <w:r>
        <w:rPr>
          <w:rFonts w:ascii="宋体" w:hAnsi="宋体" w:eastAsia="宋体" w:cs="Times New Roman"/>
          <w:sz w:val="21"/>
        </w:rPr>
        <w:t>4</w:t>
      </w:r>
      <w:r>
        <w:rPr>
          <w:rFonts w:hint="eastAsia" w:ascii="宋体" w:hAnsi="宋体" w:eastAsia="宋体" w:cs="Times New Roman"/>
          <w:sz w:val="21"/>
        </w:rPr>
        <w:t>月，工业和信息化部、国家发展改革委、财政部等三部委联合印发了《机器人产业发展规划（</w:t>
      </w:r>
      <w:r>
        <w:rPr>
          <w:rFonts w:ascii="宋体" w:hAnsi="宋体" w:eastAsia="宋体" w:cs="Times New Roman"/>
          <w:sz w:val="21"/>
        </w:rPr>
        <w:t>2016—2020</w:t>
      </w:r>
      <w:r>
        <w:rPr>
          <w:rFonts w:hint="eastAsia" w:ascii="宋体" w:hAnsi="宋体" w:eastAsia="宋体" w:cs="Times New Roman"/>
          <w:sz w:val="21"/>
        </w:rPr>
        <w:t>年）》，为“十三五”期间中国机器人产业发展描绘了清晰的蓝图。</w:t>
      </w:r>
      <w:r>
        <w:rPr>
          <w:rFonts w:ascii="宋体" w:hAnsi="宋体" w:eastAsia="宋体" w:cs="Times New Roman"/>
          <w:sz w:val="21"/>
        </w:rPr>
        <w:t>2016</w:t>
      </w:r>
      <w:r>
        <w:rPr>
          <w:rFonts w:hint="eastAsia" w:ascii="宋体" w:hAnsi="宋体" w:eastAsia="宋体" w:cs="Times New Roman"/>
          <w:sz w:val="21"/>
        </w:rPr>
        <w:t>年</w:t>
      </w:r>
      <w:r>
        <w:rPr>
          <w:rFonts w:ascii="宋体" w:hAnsi="宋体" w:eastAsia="宋体" w:cs="Times New Roman"/>
          <w:sz w:val="21"/>
        </w:rPr>
        <w:t>5</w:t>
      </w:r>
      <w:r>
        <w:rPr>
          <w:rFonts w:hint="eastAsia" w:ascii="宋体" w:hAnsi="宋体" w:eastAsia="宋体" w:cs="Times New Roman"/>
          <w:sz w:val="21"/>
        </w:rPr>
        <w:t>月，国家发改委和科技部等</w:t>
      </w:r>
      <w:r>
        <w:rPr>
          <w:rFonts w:ascii="宋体" w:hAnsi="宋体" w:eastAsia="宋体" w:cs="Times New Roman"/>
          <w:sz w:val="21"/>
        </w:rPr>
        <w:t>4</w:t>
      </w:r>
      <w:r>
        <w:rPr>
          <w:rFonts w:hint="eastAsia" w:ascii="宋体" w:hAnsi="宋体" w:eastAsia="宋体" w:cs="Times New Roman"/>
          <w:sz w:val="21"/>
        </w:rPr>
        <w:t>部门联合印发《“互联网</w:t>
      </w:r>
      <w:r>
        <w:rPr>
          <w:rFonts w:ascii="宋体" w:hAnsi="宋体" w:eastAsia="宋体" w:cs="Times New Roman"/>
          <w:sz w:val="21"/>
        </w:rPr>
        <w:t>+”</w:t>
      </w:r>
      <w:r>
        <w:rPr>
          <w:rFonts w:hint="eastAsia" w:ascii="宋体" w:hAnsi="宋体" w:eastAsia="宋体" w:cs="Times New Roman"/>
          <w:sz w:val="21"/>
        </w:rPr>
        <w:t>人工智能三年行动实施方案》，明确未来</w:t>
      </w:r>
      <w:r>
        <w:rPr>
          <w:rFonts w:ascii="宋体" w:hAnsi="宋体" w:eastAsia="宋体" w:cs="Times New Roman"/>
          <w:sz w:val="21"/>
        </w:rPr>
        <w:t>3</w:t>
      </w:r>
      <w:r>
        <w:rPr>
          <w:rFonts w:hint="eastAsia" w:ascii="宋体" w:hAnsi="宋体" w:eastAsia="宋体" w:cs="Times New Roman"/>
          <w:sz w:val="21"/>
        </w:rPr>
        <w:t>年智能产业的发展重点与具体扶持项目。习近平总书记在党的十九大报告中，明确提出了“推动互联网、大数据、人工智能与实体经济深度融合”，这说明党和国家对人工智能领域的发展高度重视。</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现在国家在大力地推动人工智能的人才培养。</w:t>
      </w:r>
      <w:r>
        <w:rPr>
          <w:rFonts w:ascii="宋体" w:hAnsi="宋体" w:eastAsia="宋体" w:cs="Times New Roman"/>
          <w:sz w:val="21"/>
        </w:rPr>
        <w:t>2017</w:t>
      </w:r>
      <w:r>
        <w:rPr>
          <w:rFonts w:hint="eastAsia" w:ascii="宋体" w:hAnsi="宋体" w:eastAsia="宋体" w:cs="Times New Roman"/>
          <w:sz w:val="21"/>
        </w:rPr>
        <w:t>年</w:t>
      </w:r>
      <w:r>
        <w:rPr>
          <w:rFonts w:ascii="宋体" w:hAnsi="宋体" w:eastAsia="宋体" w:cs="Times New Roman"/>
          <w:sz w:val="21"/>
        </w:rPr>
        <w:t>7</w:t>
      </w:r>
      <w:r>
        <w:rPr>
          <w:rFonts w:hint="eastAsia" w:ascii="宋体" w:hAnsi="宋体" w:eastAsia="宋体" w:cs="Times New Roman"/>
          <w:sz w:val="21"/>
        </w:rPr>
        <w:t>月</w:t>
      </w:r>
      <w:r>
        <w:rPr>
          <w:rFonts w:ascii="宋体" w:hAnsi="宋体" w:eastAsia="宋体" w:cs="Times New Roman"/>
          <w:sz w:val="21"/>
        </w:rPr>
        <w:t>20</w:t>
      </w:r>
      <w:r>
        <w:rPr>
          <w:rFonts w:hint="eastAsia" w:ascii="宋体" w:hAnsi="宋体" w:eastAsia="宋体" w:cs="Times New Roman"/>
          <w:sz w:val="21"/>
        </w:rPr>
        <w:t>日，国务院发布《新一代人工智能发展规划的通知》提出要抢抓人工智能发展的重大战略机遇，构筑我国人工智能发展的先发优势，加快建设创新型国家和世界科技强国。</w:t>
      </w:r>
      <w:r>
        <w:rPr>
          <w:rFonts w:ascii="宋体" w:hAnsi="宋体" w:eastAsia="宋体" w:cs="Times New Roman"/>
          <w:sz w:val="21"/>
        </w:rPr>
        <w:t>2018</w:t>
      </w:r>
      <w:r>
        <w:rPr>
          <w:rFonts w:hint="eastAsia" w:ascii="宋体" w:hAnsi="宋体" w:eastAsia="宋体" w:cs="Times New Roman"/>
          <w:sz w:val="21"/>
        </w:rPr>
        <w:t>年</w:t>
      </w:r>
      <w:r>
        <w:rPr>
          <w:rFonts w:ascii="宋体" w:hAnsi="宋体" w:eastAsia="宋体" w:cs="Times New Roman"/>
          <w:sz w:val="21"/>
        </w:rPr>
        <w:t>4</w:t>
      </w:r>
      <w:r>
        <w:rPr>
          <w:rFonts w:hint="eastAsia" w:ascii="宋体" w:hAnsi="宋体" w:eastAsia="宋体" w:cs="Times New Roman"/>
          <w:sz w:val="21"/>
        </w:rPr>
        <w:t>月，教育部在研究制定《高等学校引领人工智能创新行动计划》明确提出大力推进人工智能的普及教育，并研究设立人工智能专业，进一步完善中国高校人工智能学科体系。这一切表明人工智能已被提升至国家战略高度。</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在全球人工智能技术蓬勃发展的战略背景下，建设人工智能专业，培养人工智能领域专业人才，符合国家发展战略需求，是对国家创新发展战略的积极回应，也满足国家及区域经济实施科技创新、培养新兴人才的需要，势在必行。</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b/>
          <w:bCs/>
          <w:sz w:val="21"/>
        </w:rPr>
      </w:pPr>
      <w:r>
        <w:rPr>
          <w:rFonts w:ascii="宋体" w:hAnsi="宋体" w:eastAsia="宋体" w:cs="Times New Roman"/>
          <w:b/>
          <w:bCs/>
          <w:sz w:val="21"/>
        </w:rPr>
        <w:t>(</w:t>
      </w:r>
      <w:r>
        <w:rPr>
          <w:rFonts w:hint="eastAsia" w:ascii="宋体" w:hAnsi="宋体" w:eastAsia="宋体" w:cs="Times New Roman"/>
          <w:b/>
          <w:bCs/>
          <w:sz w:val="21"/>
        </w:rPr>
        <w:t>2</w:t>
      </w:r>
      <w:r>
        <w:rPr>
          <w:rFonts w:ascii="宋体" w:hAnsi="宋体" w:eastAsia="宋体" w:cs="Times New Roman"/>
          <w:b/>
          <w:bCs/>
          <w:sz w:val="21"/>
        </w:rPr>
        <w:t>)</w:t>
      </w:r>
      <w:r>
        <w:rPr>
          <w:rFonts w:hint="eastAsia" w:ascii="宋体" w:hAnsi="宋体" w:eastAsia="宋体" w:cs="Times New Roman"/>
          <w:b/>
          <w:bCs/>
          <w:sz w:val="21"/>
        </w:rPr>
        <w:t>、设置人工智能专业的现实需求</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由于过去十年以深度学习为代表的</w:t>
      </w:r>
      <w:r>
        <w:rPr>
          <w:rFonts w:hint="eastAsia" w:ascii="宋体" w:hAnsi="宋体" w:eastAsia="宋体" w:cs="Times New Roman"/>
          <w:sz w:val="21"/>
        </w:rPr>
        <w:t>人工智能</w:t>
      </w:r>
      <w:r>
        <w:rPr>
          <w:rFonts w:ascii="宋体" w:hAnsi="宋体" w:eastAsia="宋体" w:cs="Times New Roman"/>
          <w:sz w:val="21"/>
        </w:rPr>
        <w:t>技术的阶段性突破，现代人工智能技术已经在模式识别、智能车、医学影像处理、自动化翻译、机器人、博弈、量化自主交易等诸多领域获得成功应用甚至是获得超越人类的表现，这极大的影响了相关领域的发展模式。</w:t>
      </w:r>
      <w:r>
        <w:rPr>
          <w:rFonts w:hint="eastAsia" w:ascii="宋体" w:hAnsi="宋体" w:eastAsia="宋体" w:cs="Times New Roman"/>
          <w:sz w:val="21"/>
        </w:rPr>
        <w:t>人工智能</w:t>
      </w:r>
      <w:r>
        <w:rPr>
          <w:rFonts w:ascii="宋体" w:hAnsi="宋体" w:eastAsia="宋体" w:cs="Times New Roman"/>
          <w:sz w:val="21"/>
        </w:rPr>
        <w:t>技术的重要性，不仅仅在于学术研究上的突破，更是因为它的无限潜力</w:t>
      </w:r>
      <w:r>
        <w:rPr>
          <w:rFonts w:hint="eastAsia" w:ascii="宋体" w:hAnsi="宋体" w:eastAsia="宋体" w:cs="Times New Roman"/>
          <w:sz w:val="21"/>
        </w:rPr>
        <w:t>，</w:t>
      </w:r>
      <w:r>
        <w:rPr>
          <w:rFonts w:ascii="宋体" w:hAnsi="宋体" w:eastAsia="宋体" w:cs="Times New Roman"/>
          <w:sz w:val="21"/>
        </w:rPr>
        <w:t>特别是在我国经济发展模式转型的过程中，</w:t>
      </w:r>
      <w:r>
        <w:rPr>
          <w:rFonts w:hint="eastAsia" w:ascii="宋体" w:hAnsi="宋体" w:eastAsia="宋体" w:cs="Times New Roman"/>
          <w:sz w:val="21"/>
        </w:rPr>
        <w:t>人工智能</w:t>
      </w:r>
      <w:r>
        <w:rPr>
          <w:rFonts w:ascii="宋体" w:hAnsi="宋体" w:eastAsia="宋体" w:cs="Times New Roman"/>
          <w:sz w:val="21"/>
        </w:rPr>
        <w:t>承担着“技术牵引”的龙头地位</w:t>
      </w:r>
      <w:r>
        <w:rPr>
          <w:rFonts w:hint="eastAsia" w:ascii="宋体" w:hAnsi="宋体" w:eastAsia="宋体" w:cs="Times New Roman"/>
          <w:sz w:val="21"/>
        </w:rPr>
        <w:t>。</w:t>
      </w:r>
      <w:r>
        <w:rPr>
          <w:rFonts w:ascii="宋体" w:hAnsi="宋体" w:eastAsia="宋体" w:cs="Times New Roman"/>
          <w:sz w:val="21"/>
        </w:rPr>
        <w:t>没</w:t>
      </w:r>
      <w:r>
        <w:rPr>
          <w:rFonts w:hint="eastAsia" w:ascii="宋体" w:hAnsi="宋体" w:eastAsia="宋体" w:cs="Times New Roman"/>
          <w:sz w:val="21"/>
        </w:rPr>
        <w:t>有人工智能加持，产业的技术升级只能说是不完备的，我国也将难以实现从信息化到智能化的升级。可以说，人工智能已经成为当今世界科学与技术发展的一大主流方向。</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ascii="宋体" w:hAnsi="宋体" w:eastAsia="宋体" w:cs="Times New Roman"/>
          <w:sz w:val="21"/>
        </w:rPr>
        <w:t xml:space="preserve">    2016</w:t>
      </w:r>
      <w:r>
        <w:rPr>
          <w:rFonts w:hint="eastAsia" w:ascii="宋体" w:hAnsi="宋体" w:eastAsia="宋体" w:cs="Times New Roman"/>
          <w:sz w:val="21"/>
        </w:rPr>
        <w:t>年</w:t>
      </w:r>
      <w:r>
        <w:rPr>
          <w:rFonts w:ascii="宋体" w:hAnsi="宋体" w:eastAsia="宋体" w:cs="Times New Roman"/>
          <w:sz w:val="21"/>
        </w:rPr>
        <w:t>Google AlphaGo</w:t>
      </w:r>
      <w:r>
        <w:rPr>
          <w:rFonts w:hint="eastAsia" w:ascii="宋体" w:hAnsi="宋体" w:eastAsia="宋体" w:cs="Times New Roman"/>
          <w:sz w:val="21"/>
        </w:rPr>
        <w:t>系统战胜人类顶尖棋手，极大刺激了社会大众对智能技术的认知，推动了人工智能产业的发展。人们不得不面对机器智能在许多领域超越人脑智能的事实，也激发了人类创造“机器大脑”，帮助人类解决实际问题。例如，杭州“城市大脑”，采用人工智能技术，对城市进行全局实时分析，自动调配公共资源，修正城市运行中的缺陷，成为治理城市的超级人工智能。</w:t>
      </w:r>
      <w:r>
        <w:rPr>
          <w:rFonts w:ascii="宋体" w:hAnsi="宋体" w:eastAsia="宋体" w:cs="Times New Roman"/>
          <w:sz w:val="21"/>
        </w:rPr>
        <w:t>目前</w:t>
      </w:r>
      <w:r>
        <w:rPr>
          <w:rFonts w:hint="eastAsia" w:ascii="宋体" w:hAnsi="宋体" w:eastAsia="宋体" w:cs="Times New Roman"/>
          <w:sz w:val="21"/>
        </w:rPr>
        <w:t>“</w:t>
      </w:r>
      <w:r>
        <w:rPr>
          <w:rFonts w:ascii="宋体" w:hAnsi="宋体" w:eastAsia="宋体" w:cs="Times New Roman"/>
          <w:sz w:val="21"/>
        </w:rPr>
        <w:t>城市大脑</w:t>
      </w:r>
      <w:r>
        <w:rPr>
          <w:rFonts w:hint="eastAsia" w:ascii="宋体" w:hAnsi="宋体" w:eastAsia="宋体" w:cs="Times New Roman"/>
          <w:sz w:val="21"/>
        </w:rPr>
        <w:t>”</w:t>
      </w:r>
      <w:r>
        <w:rPr>
          <w:rFonts w:ascii="宋体" w:hAnsi="宋体" w:eastAsia="宋体" w:cs="Times New Roman"/>
          <w:sz w:val="21"/>
        </w:rPr>
        <w:t>优化信号灯路口1300 个，同时还接入了视频4500路；通过交警手持的移动终端，大脑可实时指挥200多名交警。</w:t>
      </w:r>
      <w:r>
        <w:rPr>
          <w:rFonts w:hint="eastAsia" w:ascii="宋体" w:hAnsi="宋体" w:eastAsia="宋体" w:cs="Times New Roman"/>
          <w:sz w:val="21"/>
        </w:rPr>
        <w:t>“城市大脑”使杭州交通拥堵排名从全国第3的高位降至全国大中城市第30位。在医疗领域，图像识别技术可以提高癌症诊断的准确性；在农业领域，可以利用深度学习促进农作物产量增长；在制药行业，深度学习被用于发现新药；在能源行业，人工智能技术使勘探效率和装备可靠性提升；在金融服务行业，人工智能技术的应用大大降低了行业成本，推动金融服务从高端走向普惠金融。人工智能技术已经成为新产业、新业态、新模式的孵化器和助推器。然而，全球范围内人工智能人才紧缺，中国对于人工智能人才的需求数量已经突破百万，但国内人工智能领域人才供应量却很少，人才严重短缺。从长远发展来看，解决人工智能人才紧缺的问题，关键在于人才培养。</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人工智能教育和人才培养是这一领域发展的重要基础。自从</w:t>
      </w:r>
      <w:r>
        <w:rPr>
          <w:rFonts w:ascii="宋体" w:hAnsi="宋体" w:eastAsia="宋体" w:cs="Times New Roman"/>
          <w:sz w:val="21"/>
        </w:rPr>
        <w:t>2017</w:t>
      </w:r>
      <w:r>
        <w:rPr>
          <w:rFonts w:hint="eastAsia" w:ascii="宋体" w:hAnsi="宋体" w:eastAsia="宋体" w:cs="Times New Roman"/>
          <w:sz w:val="21"/>
        </w:rPr>
        <w:t>年5月中国科学院大学成立人工智能技术学院以来，目前全国已有</w:t>
      </w:r>
      <w:r>
        <w:rPr>
          <w:rFonts w:ascii="宋体" w:hAnsi="宋体" w:eastAsia="宋体" w:cs="Times New Roman"/>
          <w:sz w:val="21"/>
        </w:rPr>
        <w:t>35</w:t>
      </w:r>
      <w:r>
        <w:rPr>
          <w:rFonts w:hint="eastAsia" w:ascii="宋体" w:hAnsi="宋体" w:eastAsia="宋体" w:cs="Times New Roman"/>
          <w:sz w:val="21"/>
        </w:rPr>
        <w:t>所高校获批首批人工智能本科专业建设资格。但在湖北省内，只有武汉理工大学取得建设资格，难以满足中部地区对人工智能人才的需求。</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因此，武汉工程大学申请人工智能专业，推进人工智能教育，培养人工智能专门人才，符合国家发展战略需求和产业发展需要，符合武汉工程大学一贯的办学宗旨。</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b/>
          <w:bCs/>
          <w:sz w:val="21"/>
        </w:rPr>
      </w:pPr>
      <w:r>
        <w:rPr>
          <w:rFonts w:ascii="宋体" w:hAnsi="宋体" w:eastAsia="宋体" w:cs="Times New Roman"/>
          <w:b/>
          <w:bCs/>
          <w:sz w:val="21"/>
        </w:rPr>
        <w:t>(3)</w:t>
      </w:r>
      <w:r>
        <w:rPr>
          <w:rFonts w:hint="eastAsia" w:ascii="宋体" w:hAnsi="宋体" w:eastAsia="宋体" w:cs="Times New Roman"/>
          <w:b/>
          <w:bCs/>
          <w:sz w:val="21"/>
        </w:rPr>
        <w:t>、武汉工程大学设置人工智能专业的优势</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 xml:space="preserve">武汉工程大学是湖北省重点建设高校，是博士学位授予单位，现面向全国 </w:t>
      </w:r>
      <w:r>
        <w:rPr>
          <w:rFonts w:ascii="宋体" w:hAnsi="宋体" w:eastAsia="宋体" w:cs="Times New Roman"/>
          <w:sz w:val="21"/>
        </w:rPr>
        <w:t xml:space="preserve">30 </w:t>
      </w:r>
      <w:r>
        <w:rPr>
          <w:rFonts w:hint="eastAsia" w:ascii="宋体" w:hAnsi="宋体" w:eastAsia="宋体" w:cs="Times New Roman"/>
          <w:sz w:val="21"/>
        </w:rPr>
        <w:t>个省（区、市）招生，拥有较强的办学实力和丰富的办学经验。</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b/>
          <w:bCs/>
          <w:sz w:val="21"/>
        </w:rPr>
        <w:t xml:space="preserve"> </w:t>
      </w:r>
      <w:r>
        <w:rPr>
          <w:rFonts w:ascii="宋体" w:hAnsi="宋体" w:eastAsia="宋体" w:cs="Times New Roman"/>
          <w:b/>
          <w:bCs/>
          <w:sz w:val="21"/>
        </w:rPr>
        <w:t xml:space="preserve">   </w:t>
      </w:r>
      <w:r>
        <w:rPr>
          <w:rFonts w:hint="eastAsia" w:ascii="宋体" w:hAnsi="宋体" w:eastAsia="宋体" w:cs="Times New Roman"/>
          <w:b/>
          <w:bCs/>
          <w:sz w:val="21"/>
        </w:rPr>
        <w:t>在学科建设方面</w:t>
      </w:r>
      <w:r>
        <w:rPr>
          <w:rFonts w:hint="eastAsia" w:ascii="宋体" w:hAnsi="宋体" w:eastAsia="宋体" w:cs="Times New Roman"/>
          <w:sz w:val="21"/>
        </w:rPr>
        <w:t>。武汉工程大学现有博士学位授权一级学科2个、硕士学位授权一级学科</w:t>
      </w:r>
      <w:r>
        <w:rPr>
          <w:rFonts w:ascii="宋体" w:hAnsi="宋体" w:eastAsia="宋体" w:cs="Times New Roman"/>
          <w:sz w:val="21"/>
        </w:rPr>
        <w:t>21</w:t>
      </w:r>
      <w:r>
        <w:rPr>
          <w:rFonts w:hint="eastAsia" w:ascii="宋体" w:hAnsi="宋体" w:eastAsia="宋体" w:cs="Times New Roman"/>
          <w:sz w:val="21"/>
        </w:rPr>
        <w:t xml:space="preserve">个，在校研究生规模近 </w:t>
      </w:r>
      <w:r>
        <w:rPr>
          <w:rFonts w:ascii="宋体" w:hAnsi="宋体" w:eastAsia="宋体" w:cs="Times New Roman"/>
          <w:sz w:val="21"/>
        </w:rPr>
        <w:t xml:space="preserve">3000 </w:t>
      </w:r>
      <w:r>
        <w:rPr>
          <w:rFonts w:hint="eastAsia" w:ascii="宋体" w:hAnsi="宋体" w:eastAsia="宋体" w:cs="Times New Roman"/>
          <w:sz w:val="21"/>
        </w:rPr>
        <w:t xml:space="preserve">人；湖北省“楚天学者计划”特聘教授岗位设置学科 </w:t>
      </w:r>
      <w:r>
        <w:rPr>
          <w:rFonts w:ascii="宋体" w:hAnsi="宋体" w:eastAsia="宋体" w:cs="Times New Roman"/>
          <w:sz w:val="21"/>
        </w:rPr>
        <w:t>22</w:t>
      </w:r>
      <w:r>
        <w:rPr>
          <w:rFonts w:hint="eastAsia" w:ascii="宋体" w:hAnsi="宋体" w:eastAsia="宋体" w:cs="Times New Roman"/>
          <w:sz w:val="21"/>
        </w:rPr>
        <w:t xml:space="preserve">个，省属高校优势特色学科群 </w:t>
      </w:r>
      <w:r>
        <w:rPr>
          <w:rFonts w:ascii="宋体" w:hAnsi="宋体" w:eastAsia="宋体" w:cs="Times New Roman"/>
          <w:sz w:val="21"/>
        </w:rPr>
        <w:t>2</w:t>
      </w:r>
      <w:r>
        <w:rPr>
          <w:rFonts w:hint="eastAsia" w:ascii="宋体" w:hAnsi="宋体" w:eastAsia="宋体" w:cs="Times New Roman"/>
          <w:sz w:val="21"/>
        </w:rPr>
        <w:t>个、省级优势学科1个、省级特色学科5个、省级重点（培育）学科4个。</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 xml:space="preserve">其中，可支撑人工智能专业的学科有：智能科学与技术，是湖北省战略性新兴（支柱）产业人才培养计划专业，是校级重点培育专业，和计算机科学与技术、控制科学与工程（湖北省特色学科）、软件工程三个一级学科硕士点，目前研究生规模达 </w:t>
      </w:r>
      <w:r>
        <w:rPr>
          <w:rFonts w:ascii="宋体" w:hAnsi="宋体" w:eastAsia="宋体" w:cs="Times New Roman"/>
          <w:sz w:val="21"/>
        </w:rPr>
        <w:t xml:space="preserve">300 </w:t>
      </w:r>
      <w:r>
        <w:rPr>
          <w:rFonts w:hint="eastAsia" w:ascii="宋体" w:hAnsi="宋体" w:eastAsia="宋体" w:cs="Times New Roman"/>
          <w:sz w:val="21"/>
        </w:rPr>
        <w:t>人。</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b/>
          <w:bCs/>
          <w:sz w:val="21"/>
        </w:rPr>
        <w:t xml:space="preserve"> </w:t>
      </w:r>
      <w:r>
        <w:rPr>
          <w:rFonts w:ascii="宋体" w:hAnsi="宋体" w:eastAsia="宋体" w:cs="Times New Roman"/>
          <w:b/>
          <w:bCs/>
          <w:sz w:val="21"/>
        </w:rPr>
        <w:t xml:space="preserve">   </w:t>
      </w:r>
      <w:r>
        <w:rPr>
          <w:rFonts w:hint="eastAsia" w:ascii="宋体" w:hAnsi="宋体" w:eastAsia="宋体" w:cs="Times New Roman"/>
          <w:b/>
          <w:bCs/>
          <w:sz w:val="21"/>
        </w:rPr>
        <w:t>在科研平台和教学平台建设方面</w:t>
      </w:r>
      <w:r>
        <w:rPr>
          <w:rFonts w:hint="eastAsia" w:ascii="宋体" w:hAnsi="宋体" w:eastAsia="宋体" w:cs="Times New Roman"/>
          <w:sz w:val="21"/>
        </w:rPr>
        <w:t>。武汉工程大学现有1个国家磷资源开发利用工程技术研究中心、1个磷资源开发利用教育部工程研究中心、1个国家技术转移示范机构、1个绿色化工过程教育部重点实验室、1个部委级企业技术创新服务平台；</w:t>
      </w:r>
      <w:r>
        <w:rPr>
          <w:rFonts w:ascii="宋体" w:hAnsi="宋体" w:eastAsia="宋体" w:cs="Times New Roman"/>
          <w:sz w:val="21"/>
        </w:rPr>
        <w:t>1</w:t>
      </w:r>
      <w:r>
        <w:rPr>
          <w:rFonts w:hint="eastAsia" w:ascii="宋体" w:hAnsi="宋体" w:eastAsia="宋体" w:cs="Times New Roman"/>
          <w:sz w:val="21"/>
        </w:rPr>
        <w:t xml:space="preserve">个博士后科研流动站；62个省市级重点实验室、人文社科重点研究基地和技术中心（基地）。2019年，成立武汉工程大学—华为信息与网络技术学院，华为公司将从课程建设、产学合作、师资培养、学生认证等方面支持武汉工程大学开展人工智能专业建设和人才培养。其中，计算机科学与工程学院设有 1个省级科研平台“智能机器人湖北省重点实验室”、1个省级工程中心“湖北省智能焊接装备工程技术研发中心”、1个校级工程中心“武汉工程大学工业机器人工程技术研究中心”等一批高水平实验室和研究机构；同时还设有2个省级实验教学平台“湖北省计算机实验教学示范中心”和“湖北省智能系统虚拟仿真实验教学中心”、2个省级实习实训基地“第一批湖北省服务外包培养（训）基地”和“上海第九城市实习实训基地”，与企业联合设立“武汉工程大学惠普实训中心”和“武汉工程大学 </w:t>
      </w:r>
      <w:r>
        <w:rPr>
          <w:rFonts w:ascii="宋体" w:hAnsi="宋体" w:eastAsia="宋体" w:cs="Times New Roman"/>
          <w:sz w:val="21"/>
        </w:rPr>
        <w:t xml:space="preserve">Oracle WDP </w:t>
      </w:r>
      <w:r>
        <w:rPr>
          <w:rFonts w:hint="eastAsia" w:ascii="宋体" w:hAnsi="宋体" w:eastAsia="宋体" w:cs="Times New Roman"/>
          <w:sz w:val="21"/>
        </w:rPr>
        <w:t>俱乐部”、“嵌入式系统联系实验室”等一批实验室和基地。</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b/>
          <w:bCs/>
          <w:sz w:val="21"/>
        </w:rPr>
        <w:t xml:space="preserve"> </w:t>
      </w:r>
      <w:r>
        <w:rPr>
          <w:rFonts w:ascii="宋体" w:hAnsi="宋体" w:eastAsia="宋体" w:cs="Times New Roman"/>
          <w:b/>
          <w:bCs/>
          <w:sz w:val="21"/>
        </w:rPr>
        <w:t xml:space="preserve">   </w:t>
      </w:r>
      <w:r>
        <w:rPr>
          <w:rFonts w:hint="eastAsia" w:ascii="宋体" w:hAnsi="宋体" w:eastAsia="宋体" w:cs="Times New Roman"/>
          <w:b/>
          <w:bCs/>
          <w:sz w:val="21"/>
        </w:rPr>
        <w:t>在专业建设和课程建设方面</w:t>
      </w:r>
      <w:r>
        <w:rPr>
          <w:rFonts w:hint="eastAsia" w:ascii="宋体" w:hAnsi="宋体" w:eastAsia="宋体" w:cs="Times New Roman"/>
          <w:sz w:val="21"/>
        </w:rPr>
        <w:t>。武汉工程大学现有本科专业88个，其中国家级综合改革专业1个、国家级特色专业5个、教育部“卓越工程师”教育培养计划专业4个、省级品牌专业9个、省拔尖创新人才培育试验计划专业9个、省战略新兴（支柱）产业人才培养计划专业9个、省综合改革试点专业6个、省荆楚卓越计划专业2个；国家级精品课2门、国家级精品资源共享课2门、国家级精品视频公开课1门、国家级双语教学示范课1门、省级精品课程26门、省级精品资源共享课7门、省级精品视频公开课5门；国家级教学团队2个、国家级人才培养模式创新实验区1个、国家级实验教学示范中心2个、国家级工程实践教育中心2个；省级重点实验教学示范中心2个，省级实验教学示范中心6个，省级示范实习实训基地3个，省级实习实训基地4个，省级虚拟仿真实验教学中心 1个。</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学校目前已经开设的与人工智能相关的本科专业包括：智能科学与技术，计算机科学与技术、控制科学与工程、软件工程、电子商务等，且均有</w:t>
      </w:r>
      <w:r>
        <w:rPr>
          <w:rFonts w:hint="eastAsia" w:ascii="宋体" w:hAnsi="宋体" w:eastAsia="宋体" w:cs="Times New Roman"/>
          <w:bCs/>
          <w:sz w:val="21"/>
        </w:rPr>
        <w:t>9</w:t>
      </w:r>
      <w:r>
        <w:rPr>
          <w:rFonts w:hint="eastAsia" w:ascii="宋体" w:hAnsi="宋体" w:eastAsia="宋体" w:cs="Times New Roman"/>
          <w:sz w:val="21"/>
        </w:rPr>
        <w:t>届以上的毕业生，专业建设经验丰富。</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b/>
          <w:bCs/>
          <w:sz w:val="21"/>
        </w:rPr>
        <w:t xml:space="preserve"> </w:t>
      </w:r>
      <w:r>
        <w:rPr>
          <w:rFonts w:ascii="宋体" w:hAnsi="宋体" w:eastAsia="宋体" w:cs="Times New Roman"/>
          <w:b/>
          <w:bCs/>
          <w:sz w:val="21"/>
        </w:rPr>
        <w:t xml:space="preserve">   </w:t>
      </w:r>
      <w:r>
        <w:rPr>
          <w:rFonts w:hint="eastAsia" w:ascii="宋体" w:hAnsi="宋体" w:eastAsia="宋体" w:cs="Times New Roman"/>
          <w:b/>
          <w:bCs/>
          <w:sz w:val="21"/>
        </w:rPr>
        <w:t>在人才工程和团队建设方面</w:t>
      </w:r>
      <w:r>
        <w:rPr>
          <w:rFonts w:hint="eastAsia" w:ascii="宋体" w:hAnsi="宋体" w:eastAsia="宋体" w:cs="Times New Roman"/>
          <w:sz w:val="21"/>
        </w:rPr>
        <w:t xml:space="preserve">。武汉工程大学有国家“千人计划”入选者 </w:t>
      </w:r>
      <w:r>
        <w:rPr>
          <w:rFonts w:ascii="宋体" w:hAnsi="宋体" w:eastAsia="宋体" w:cs="Times New Roman"/>
          <w:sz w:val="21"/>
        </w:rPr>
        <w:t xml:space="preserve">2 </w:t>
      </w:r>
      <w:r>
        <w:rPr>
          <w:rFonts w:hint="eastAsia" w:ascii="宋体" w:hAnsi="宋体" w:eastAsia="宋体" w:cs="Times New Roman"/>
          <w:sz w:val="21"/>
        </w:rPr>
        <w:t xml:space="preserve">人，“长江学者”特聘教授 </w:t>
      </w:r>
      <w:r>
        <w:rPr>
          <w:rFonts w:ascii="宋体" w:hAnsi="宋体" w:eastAsia="宋体" w:cs="Times New Roman"/>
          <w:sz w:val="21"/>
        </w:rPr>
        <w:t xml:space="preserve">1 </w:t>
      </w:r>
      <w:r>
        <w:rPr>
          <w:rFonts w:hint="eastAsia" w:ascii="宋体" w:hAnsi="宋体" w:eastAsia="宋体" w:cs="Times New Roman"/>
          <w:sz w:val="21"/>
        </w:rPr>
        <w:t xml:space="preserve">人，“新世纪百千万人才工程”国家级人选 </w:t>
      </w:r>
      <w:r>
        <w:rPr>
          <w:rFonts w:ascii="宋体" w:hAnsi="宋体" w:eastAsia="宋体" w:cs="Times New Roman"/>
          <w:sz w:val="21"/>
        </w:rPr>
        <w:t xml:space="preserve">2 </w:t>
      </w:r>
      <w:r>
        <w:rPr>
          <w:rFonts w:hint="eastAsia" w:ascii="宋体" w:hAnsi="宋体" w:eastAsia="宋体" w:cs="Times New Roman"/>
          <w:sz w:val="21"/>
        </w:rPr>
        <w:t xml:space="preserve">人，国家杰出青年科学基金获得者 </w:t>
      </w:r>
      <w:r>
        <w:rPr>
          <w:rFonts w:ascii="宋体" w:hAnsi="宋体" w:eastAsia="宋体" w:cs="Times New Roman"/>
          <w:sz w:val="21"/>
        </w:rPr>
        <w:t xml:space="preserve">3 </w:t>
      </w:r>
      <w:r>
        <w:rPr>
          <w:rFonts w:hint="eastAsia" w:ascii="宋体" w:hAnsi="宋体" w:eastAsia="宋体" w:cs="Times New Roman"/>
          <w:sz w:val="21"/>
        </w:rPr>
        <w:t xml:space="preserve">人，国家有突出贡献中青年专家 </w:t>
      </w:r>
      <w:r>
        <w:rPr>
          <w:rFonts w:ascii="宋体" w:hAnsi="宋体" w:eastAsia="宋体" w:cs="Times New Roman"/>
          <w:sz w:val="21"/>
        </w:rPr>
        <w:t xml:space="preserve">1 </w:t>
      </w:r>
      <w:r>
        <w:rPr>
          <w:rFonts w:hint="eastAsia" w:ascii="宋体" w:hAnsi="宋体" w:eastAsia="宋体" w:cs="Times New Roman"/>
          <w:sz w:val="21"/>
        </w:rPr>
        <w:t>人，省高端人才引领计划入选者</w:t>
      </w:r>
      <w:r>
        <w:rPr>
          <w:rFonts w:ascii="宋体" w:hAnsi="宋体" w:eastAsia="宋体" w:cs="Times New Roman"/>
          <w:sz w:val="21"/>
        </w:rPr>
        <w:t xml:space="preserve">1 </w:t>
      </w:r>
      <w:r>
        <w:rPr>
          <w:rFonts w:hint="eastAsia" w:ascii="宋体" w:hAnsi="宋体" w:eastAsia="宋体" w:cs="Times New Roman"/>
          <w:sz w:val="21"/>
        </w:rPr>
        <w:t xml:space="preserve">人，教育部“新世纪优秀人才支持计划”入选者12人，教育部专业教学指导委员会成员3人，湖北省“百人计划”人选 </w:t>
      </w:r>
      <w:r>
        <w:rPr>
          <w:rFonts w:ascii="宋体" w:hAnsi="宋体" w:eastAsia="宋体" w:cs="Times New Roman"/>
          <w:sz w:val="21"/>
        </w:rPr>
        <w:t xml:space="preserve">10 </w:t>
      </w:r>
      <w:r>
        <w:rPr>
          <w:rFonts w:hint="eastAsia" w:ascii="宋体" w:hAnsi="宋体" w:eastAsia="宋体" w:cs="Times New Roman"/>
          <w:sz w:val="21"/>
        </w:rPr>
        <w:t xml:space="preserve">人，湖北省新世纪高层次人才工程人选74人，湖北省教学名师3人，全国优秀教师 </w:t>
      </w:r>
      <w:r>
        <w:rPr>
          <w:rFonts w:ascii="宋体" w:hAnsi="宋体" w:eastAsia="宋体" w:cs="Times New Roman"/>
          <w:sz w:val="21"/>
        </w:rPr>
        <w:t xml:space="preserve">1 </w:t>
      </w:r>
      <w:r>
        <w:rPr>
          <w:rFonts w:hint="eastAsia" w:ascii="宋体" w:hAnsi="宋体" w:eastAsia="宋体" w:cs="Times New Roman"/>
          <w:sz w:val="21"/>
        </w:rPr>
        <w:t xml:space="preserve">人，享受国务院和省政府津贴的专家29人，省部级有突出贡献的中青年专家18人，“楚天学者计划”特聘岗位人员 </w:t>
      </w:r>
      <w:r>
        <w:rPr>
          <w:rFonts w:ascii="宋体" w:hAnsi="宋体" w:eastAsia="宋体" w:cs="Times New Roman"/>
          <w:sz w:val="21"/>
        </w:rPr>
        <w:t xml:space="preserve">43 </w:t>
      </w:r>
      <w:r>
        <w:rPr>
          <w:rFonts w:hint="eastAsia" w:ascii="宋体" w:hAnsi="宋体" w:eastAsia="宋体" w:cs="Times New Roman"/>
          <w:sz w:val="21"/>
        </w:rPr>
        <w:t>人，“工大学者计划”特聘岗位人员34人。计算机科学与工程学院拥有全国优秀教育工作者、国务院政府特殊津贴获得者、湖北省有突出贡献的中青年专家、湖北省政府特殊津贴获得者、教育部新世纪优秀人才、湖北省新世纪高层次人才工程人选、“楚天学子”特聘教授、武汉工程大学教学名师和师德标兵。在团队建设上，获批“智能机器人的基础理论及关键技术研究”教育厅科研创新团队、“控制科学与工程学科博士点建设学术创新”武汉工程大学一级优秀教师团队、“智能机器人系统科研”与“计算机实践实验公共平台”武汉工程大学二级优秀教师团队、“计算机公共基础课配套改革”与“计算机应用技术科研创新”武汉工程大学三级优秀教师团队等。</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b/>
          <w:bCs/>
          <w:sz w:val="21"/>
        </w:rPr>
        <w:t xml:space="preserve"> </w:t>
      </w:r>
      <w:r>
        <w:rPr>
          <w:rFonts w:ascii="宋体" w:hAnsi="宋体" w:eastAsia="宋体" w:cs="Times New Roman"/>
          <w:b/>
          <w:bCs/>
          <w:sz w:val="21"/>
        </w:rPr>
        <w:t xml:space="preserve">   </w:t>
      </w:r>
      <w:r>
        <w:rPr>
          <w:rFonts w:hint="eastAsia" w:ascii="宋体" w:hAnsi="宋体" w:eastAsia="宋体" w:cs="Times New Roman"/>
          <w:b/>
          <w:bCs/>
          <w:sz w:val="21"/>
        </w:rPr>
        <w:t>在科学研究方面</w:t>
      </w:r>
      <w:r>
        <w:rPr>
          <w:rFonts w:hint="eastAsia" w:ascii="宋体" w:hAnsi="宋体" w:eastAsia="宋体" w:cs="Times New Roman"/>
          <w:sz w:val="21"/>
        </w:rPr>
        <w:t>。</w:t>
      </w:r>
      <w:r>
        <w:rPr>
          <w:rFonts w:ascii="宋体" w:hAnsi="宋体" w:eastAsia="宋体" w:cs="Times New Roman"/>
          <w:sz w:val="21"/>
        </w:rPr>
        <w:t>2008</w:t>
      </w:r>
      <w:r>
        <w:rPr>
          <w:rFonts w:hint="eastAsia" w:ascii="宋体" w:hAnsi="宋体" w:eastAsia="宋体" w:cs="Times New Roman"/>
          <w:sz w:val="21"/>
        </w:rPr>
        <w:t>年以来，武汉工程大学共承担各级各类科研项目7338项，其中“</w:t>
      </w:r>
      <w:r>
        <w:rPr>
          <w:rFonts w:ascii="宋体" w:hAnsi="宋体" w:eastAsia="宋体" w:cs="Times New Roman"/>
          <w:sz w:val="21"/>
        </w:rPr>
        <w:t>973</w:t>
      </w:r>
      <w:r>
        <w:rPr>
          <w:rFonts w:hint="eastAsia" w:ascii="宋体" w:hAnsi="宋体" w:eastAsia="宋体" w:cs="Times New Roman"/>
          <w:sz w:val="21"/>
        </w:rPr>
        <w:t>计划”、“</w:t>
      </w:r>
      <w:r>
        <w:rPr>
          <w:rFonts w:ascii="宋体" w:hAnsi="宋体" w:eastAsia="宋体" w:cs="Times New Roman"/>
          <w:sz w:val="21"/>
        </w:rPr>
        <w:t xml:space="preserve">863 </w:t>
      </w:r>
      <w:r>
        <w:rPr>
          <w:rFonts w:hint="eastAsia" w:ascii="宋体" w:hAnsi="宋体" w:eastAsia="宋体" w:cs="Times New Roman"/>
          <w:sz w:val="21"/>
        </w:rPr>
        <w:t>计划”、国家科技支撑计划、国家自然科学基金、国家社会科学基金、国家软科学研究计划等国家级项目335项；省部、市级项目 1588项。获国家、省部、市级科技成果奖158项。其中，国家科技进步二等奖2</w:t>
      </w:r>
      <w:r>
        <w:rPr>
          <w:rFonts w:ascii="宋体" w:hAnsi="宋体" w:eastAsia="宋体" w:cs="Times New Roman"/>
          <w:sz w:val="21"/>
        </w:rPr>
        <w:t xml:space="preserve"> </w:t>
      </w:r>
      <w:r>
        <w:rPr>
          <w:rFonts w:hint="eastAsia" w:ascii="宋体" w:hAnsi="宋体" w:eastAsia="宋体" w:cs="Times New Roman"/>
          <w:sz w:val="21"/>
        </w:rPr>
        <w:t xml:space="preserve">项，国家技术发明奖二等奖2项，国家教学成果二等奖 </w:t>
      </w:r>
      <w:r>
        <w:rPr>
          <w:rFonts w:ascii="宋体" w:hAnsi="宋体" w:eastAsia="宋体" w:cs="Times New Roman"/>
          <w:sz w:val="21"/>
        </w:rPr>
        <w:t xml:space="preserve">1 </w:t>
      </w:r>
      <w:r>
        <w:rPr>
          <w:rFonts w:hint="eastAsia" w:ascii="宋体" w:hAnsi="宋体" w:eastAsia="宋体" w:cs="Times New Roman"/>
          <w:sz w:val="21"/>
        </w:rPr>
        <w:t xml:space="preserve">项；省（部）、市级科技奖励153项。获专利授权1690余项。教职工发表的学术论文被 </w:t>
      </w:r>
      <w:r>
        <w:rPr>
          <w:rFonts w:ascii="宋体" w:hAnsi="宋体" w:eastAsia="宋体" w:cs="Times New Roman"/>
          <w:sz w:val="21"/>
        </w:rPr>
        <w:t>SCI</w:t>
      </w:r>
      <w:r>
        <w:rPr>
          <w:rFonts w:hint="eastAsia" w:ascii="宋体" w:hAnsi="宋体" w:eastAsia="宋体" w:cs="Times New Roman"/>
          <w:sz w:val="21"/>
        </w:rPr>
        <w:t>、</w:t>
      </w:r>
      <w:r>
        <w:rPr>
          <w:rFonts w:ascii="宋体" w:hAnsi="宋体" w:eastAsia="宋体" w:cs="Times New Roman"/>
          <w:sz w:val="21"/>
        </w:rPr>
        <w:t>EI</w:t>
      </w:r>
      <w:r>
        <w:rPr>
          <w:rFonts w:hint="eastAsia" w:ascii="宋体" w:hAnsi="宋体" w:eastAsia="宋体" w:cs="Times New Roman"/>
          <w:sz w:val="21"/>
        </w:rPr>
        <w:t>、</w:t>
      </w:r>
      <w:r>
        <w:rPr>
          <w:rFonts w:ascii="宋体" w:hAnsi="宋体" w:eastAsia="宋体" w:cs="Times New Roman"/>
          <w:sz w:val="21"/>
        </w:rPr>
        <w:t>ISTP</w:t>
      </w:r>
      <w:r>
        <w:rPr>
          <w:rFonts w:hint="eastAsia" w:ascii="宋体" w:hAnsi="宋体" w:eastAsia="宋体" w:cs="Times New Roman"/>
          <w:sz w:val="21"/>
        </w:rPr>
        <w:t>、</w:t>
      </w:r>
      <w:r>
        <w:rPr>
          <w:rFonts w:ascii="宋体" w:hAnsi="宋体" w:eastAsia="宋体" w:cs="Times New Roman"/>
          <w:sz w:val="21"/>
        </w:rPr>
        <w:t>SSCI</w:t>
      </w:r>
      <w:r>
        <w:rPr>
          <w:rFonts w:hint="eastAsia" w:ascii="宋体" w:hAnsi="宋体" w:eastAsia="宋体" w:cs="Times New Roman"/>
          <w:sz w:val="21"/>
        </w:rPr>
        <w:t>、</w:t>
      </w:r>
      <w:r>
        <w:rPr>
          <w:rFonts w:ascii="宋体" w:hAnsi="宋体" w:eastAsia="宋体" w:cs="Times New Roman"/>
          <w:sz w:val="21"/>
        </w:rPr>
        <w:t>CSSCI</w:t>
      </w:r>
      <w:r>
        <w:rPr>
          <w:rFonts w:hint="eastAsia" w:ascii="宋体" w:hAnsi="宋体" w:eastAsia="宋体" w:cs="Times New Roman"/>
          <w:sz w:val="21"/>
        </w:rPr>
        <w:t>、新华文摘、人大复印报刊资料等检索收录4020余篇。学校机器人足球队连续多年荣获</w:t>
      </w:r>
      <w:r>
        <w:rPr>
          <w:rFonts w:ascii="宋体" w:hAnsi="宋体" w:eastAsia="宋体" w:cs="Times New Roman"/>
          <w:sz w:val="21"/>
        </w:rPr>
        <w:t>10</w:t>
      </w:r>
      <w:r>
        <w:rPr>
          <w:rFonts w:hint="eastAsia" w:ascii="宋体" w:hAnsi="宋体" w:eastAsia="宋体" w:cs="Times New Roman"/>
          <w:sz w:val="21"/>
        </w:rPr>
        <w:t>余项世界机器人足球大赛冠军。</w:t>
      </w:r>
      <w:r>
        <w:rPr>
          <w:rFonts w:ascii="宋体" w:hAnsi="宋体" w:eastAsia="宋体" w:cs="Times New Roman"/>
          <w:sz w:val="21"/>
        </w:rPr>
        <w:t>2015—2017</w:t>
      </w:r>
      <w:r>
        <w:rPr>
          <w:rFonts w:hint="eastAsia" w:ascii="宋体" w:hAnsi="宋体" w:eastAsia="宋体" w:cs="Times New Roman"/>
          <w:sz w:val="21"/>
        </w:rPr>
        <w:t>年，学校入帐经费计3.</w:t>
      </w:r>
      <w:r>
        <w:rPr>
          <w:rFonts w:ascii="宋体" w:hAnsi="宋体" w:eastAsia="宋体" w:cs="Times New Roman"/>
          <w:sz w:val="21"/>
        </w:rPr>
        <w:t>5</w:t>
      </w:r>
      <w:r>
        <w:rPr>
          <w:rFonts w:hint="eastAsia" w:ascii="宋体" w:hAnsi="宋体" w:eastAsia="宋体" w:cs="Times New Roman"/>
          <w:sz w:val="21"/>
        </w:rPr>
        <w:t>亿元，科研经费增幅居湖北省属高校前列。</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微软雅黑" w:hAnsi="微软雅黑" w:eastAsia="微软雅黑" w:cs="微软雅黑"/>
          <w:sz w:val="24"/>
        </w:rPr>
        <w:t>二、</w:t>
      </w:r>
      <w:r>
        <w:rPr>
          <w:rFonts w:ascii="微软雅黑" w:hAnsi="微软雅黑" w:eastAsia="微软雅黑" w:cs="微软雅黑"/>
          <w:sz w:val="24"/>
        </w:rPr>
        <w:t>支撑该专业发展的学科基础</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通过多年的建设与发展，武汉工程大学已经在智能科学与技术、人工智能方面形成了良好的发展基础：</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w:t>
      </w:r>
      <w:r>
        <w:rPr>
          <w:rFonts w:ascii="宋体" w:hAnsi="宋体" w:eastAsia="宋体" w:cs="Times New Roman"/>
          <w:sz w:val="21"/>
        </w:rPr>
        <w:t>1</w:t>
      </w:r>
      <w:r>
        <w:rPr>
          <w:rFonts w:hint="eastAsia" w:ascii="宋体" w:hAnsi="宋体" w:eastAsia="宋体" w:cs="Times New Roman"/>
          <w:sz w:val="21"/>
        </w:rPr>
        <w:t xml:space="preserve">）武汉工程大学是一所以工为主的多科性院校，在化工、医药领域和行业享有盛誉，共为国家培养各类毕业生 </w:t>
      </w:r>
      <w:r>
        <w:rPr>
          <w:rFonts w:ascii="宋体" w:hAnsi="宋体" w:eastAsia="宋体" w:cs="Times New Roman"/>
          <w:sz w:val="21"/>
        </w:rPr>
        <w:t xml:space="preserve">10 </w:t>
      </w:r>
      <w:r>
        <w:rPr>
          <w:rFonts w:hint="eastAsia" w:ascii="宋体" w:hAnsi="宋体" w:eastAsia="宋体" w:cs="Times New Roman"/>
          <w:sz w:val="21"/>
        </w:rPr>
        <w:t xml:space="preserve">万余名，仅以湖北省为例，在产值 </w:t>
      </w:r>
      <w:r>
        <w:rPr>
          <w:rFonts w:ascii="宋体" w:hAnsi="宋体" w:eastAsia="宋体" w:cs="Times New Roman"/>
          <w:sz w:val="21"/>
        </w:rPr>
        <w:t xml:space="preserve">1 </w:t>
      </w:r>
      <w:r>
        <w:rPr>
          <w:rFonts w:hint="eastAsia" w:ascii="宋体" w:hAnsi="宋体" w:eastAsia="宋体" w:cs="Times New Roman"/>
          <w:sz w:val="21"/>
        </w:rPr>
        <w:t xml:space="preserve">亿元以上的 </w:t>
      </w:r>
      <w:r>
        <w:rPr>
          <w:rFonts w:ascii="宋体" w:hAnsi="宋体" w:eastAsia="宋体" w:cs="Times New Roman"/>
          <w:sz w:val="21"/>
        </w:rPr>
        <w:t xml:space="preserve">80 </w:t>
      </w:r>
      <w:r>
        <w:rPr>
          <w:rFonts w:hint="eastAsia" w:ascii="宋体" w:hAnsi="宋体" w:eastAsia="宋体" w:cs="Times New Roman"/>
          <w:sz w:val="21"/>
        </w:rPr>
        <w:t xml:space="preserve">余家大中型化工、医药单位中，近 </w:t>
      </w:r>
      <w:r>
        <w:rPr>
          <w:rFonts w:ascii="宋体" w:hAnsi="宋体" w:eastAsia="宋体" w:cs="Times New Roman"/>
          <w:sz w:val="21"/>
        </w:rPr>
        <w:t>70%</w:t>
      </w:r>
      <w:r>
        <w:rPr>
          <w:rFonts w:hint="eastAsia" w:ascii="宋体" w:hAnsi="宋体" w:eastAsia="宋体" w:cs="Times New Roman"/>
          <w:sz w:val="21"/>
        </w:rPr>
        <w:t>的企业主要领导人是我校的毕业生。在这些领域和行业，智能化生产理念日益盛行，产业的技术升级，实现从信息化到智能化的升级，急需人工智能专业人材。多年来，我校所培养的人才既掌握扎实的化工、医药知识，又熟悉智能科学、控制科学与工程和软件工程等相关技术，有利于国家和区域经济健康发展。</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w:t>
      </w:r>
      <w:r>
        <w:rPr>
          <w:rFonts w:ascii="宋体" w:hAnsi="宋体" w:eastAsia="宋体" w:cs="Times New Roman"/>
          <w:sz w:val="21"/>
        </w:rPr>
        <w:t>2</w:t>
      </w:r>
      <w:r>
        <w:rPr>
          <w:rFonts w:hint="eastAsia" w:ascii="宋体" w:hAnsi="宋体" w:eastAsia="宋体" w:cs="Times New Roman"/>
          <w:sz w:val="21"/>
        </w:rPr>
        <w:t>）</w:t>
      </w:r>
      <w:r>
        <w:rPr>
          <w:rFonts w:ascii="宋体" w:hAnsi="宋体" w:eastAsia="宋体" w:cs="Times New Roman"/>
          <w:sz w:val="21"/>
        </w:rPr>
        <w:t>在</w:t>
      </w:r>
      <w:r>
        <w:rPr>
          <w:rFonts w:hint="eastAsia" w:ascii="宋体" w:hAnsi="宋体" w:eastAsia="宋体" w:cs="Times New Roman"/>
          <w:sz w:val="21"/>
        </w:rPr>
        <w:t>智能科</w:t>
      </w:r>
      <w:r>
        <w:rPr>
          <w:rFonts w:ascii="宋体" w:hAnsi="宋体" w:eastAsia="宋体" w:cs="Times New Roman"/>
          <w:sz w:val="21"/>
        </w:rPr>
        <w:t>学</w:t>
      </w:r>
      <w:r>
        <w:rPr>
          <w:rFonts w:hint="eastAsia" w:ascii="宋体" w:hAnsi="宋体" w:eastAsia="宋体" w:cs="Times New Roman"/>
          <w:sz w:val="21"/>
        </w:rPr>
        <w:t>与技术</w:t>
      </w:r>
      <w:r>
        <w:rPr>
          <w:rFonts w:ascii="宋体" w:hAnsi="宋体" w:eastAsia="宋体" w:cs="Times New Roman"/>
          <w:sz w:val="21"/>
        </w:rPr>
        <w:t>、</w:t>
      </w:r>
      <w:r>
        <w:rPr>
          <w:rFonts w:hint="eastAsia" w:ascii="宋体" w:hAnsi="宋体" w:eastAsia="宋体" w:cs="Times New Roman"/>
          <w:sz w:val="21"/>
        </w:rPr>
        <w:t>计算机科学与技术、控制科学与工程</w:t>
      </w:r>
      <w:r>
        <w:rPr>
          <w:rFonts w:ascii="宋体" w:hAnsi="宋体" w:eastAsia="宋体" w:cs="Times New Roman"/>
          <w:sz w:val="21"/>
        </w:rPr>
        <w:t>和</w:t>
      </w:r>
      <w:r>
        <w:rPr>
          <w:rFonts w:hint="eastAsia" w:ascii="宋体" w:hAnsi="宋体" w:eastAsia="宋体" w:cs="Times New Roman"/>
          <w:sz w:val="21"/>
        </w:rPr>
        <w:t>软件工程</w:t>
      </w:r>
      <w:r>
        <w:rPr>
          <w:rFonts w:ascii="宋体" w:hAnsi="宋体" w:eastAsia="宋体" w:cs="Times New Roman"/>
          <w:sz w:val="21"/>
        </w:rPr>
        <w:t>等研究领域取得了特色鲜明的成果</w:t>
      </w:r>
      <w:r>
        <w:rPr>
          <w:rFonts w:hint="eastAsia" w:ascii="宋体" w:hAnsi="宋体" w:eastAsia="宋体" w:cs="Times New Roman"/>
          <w:sz w:val="21"/>
        </w:rPr>
        <w:t>。在2018年国际会议IFTC上，《</w:t>
      </w:r>
      <w:r>
        <w:rPr>
          <w:rFonts w:ascii="宋体" w:hAnsi="宋体" w:eastAsia="宋体" w:cs="Times New Roman"/>
          <w:sz w:val="21"/>
        </w:rPr>
        <w:t>Nonlinear Contextual Face Hallucination</w:t>
      </w:r>
      <w:r>
        <w:rPr>
          <w:rFonts w:hint="eastAsia" w:ascii="宋体" w:hAnsi="宋体" w:eastAsia="宋体" w:cs="Times New Roman"/>
          <w:sz w:val="21"/>
        </w:rPr>
        <w:t>》获得最佳论文奖</w:t>
      </w:r>
      <w:r>
        <w:rPr>
          <w:rFonts w:ascii="宋体" w:hAnsi="宋体" w:eastAsia="宋体" w:cs="Times New Roman"/>
          <w:sz w:val="21"/>
        </w:rPr>
        <w:t>，目前为止在图像超分辨率重建领域发表了论文15篇，获得国际模式识别大会ICPR2016最佳学生论文奖</w:t>
      </w:r>
      <w:r>
        <w:rPr>
          <w:rFonts w:hint="eastAsia" w:ascii="宋体" w:hAnsi="宋体" w:eastAsia="宋体" w:cs="Times New Roman"/>
          <w:sz w:val="21"/>
        </w:rPr>
        <w:t>，并</w:t>
      </w:r>
      <w:r>
        <w:rPr>
          <w:rFonts w:ascii="宋体" w:hAnsi="宋体" w:eastAsia="宋体" w:cs="Times New Roman"/>
          <w:sz w:val="21"/>
        </w:rPr>
        <w:t>申请了相关专利15项</w:t>
      </w:r>
      <w:r>
        <w:rPr>
          <w:rFonts w:hint="eastAsia" w:ascii="宋体" w:hAnsi="宋体" w:eastAsia="宋体" w:cs="Times New Roman"/>
          <w:sz w:val="21"/>
        </w:rPr>
        <w:t>。理论研究成果《互联网全息位置地图迭加协议与建模制图技术》获测绘科技进步奖一等奖，《高效高精准图像匹配理论及其应用研究》获湖北省自然科学奖一等奖，《制造业信息化软构件库的语义互操作性管理与服务平台和</w:t>
      </w:r>
      <w:r>
        <w:rPr>
          <w:rFonts w:ascii="宋体" w:hAnsi="宋体" w:eastAsia="宋体" w:cs="Times New Roman"/>
          <w:sz w:val="21"/>
        </w:rPr>
        <w:t>ISO</w:t>
      </w:r>
      <w:r>
        <w:rPr>
          <w:rFonts w:hint="eastAsia" w:ascii="宋体" w:hAnsi="宋体" w:eastAsia="宋体" w:cs="Times New Roman"/>
          <w:sz w:val="21"/>
        </w:rPr>
        <w:t>标准》获湖北省科技进步一等奖。</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w:t>
      </w:r>
      <w:r>
        <w:rPr>
          <w:rFonts w:ascii="宋体" w:hAnsi="宋体" w:eastAsia="宋体" w:cs="Times New Roman"/>
          <w:sz w:val="21"/>
        </w:rPr>
        <w:t>3</w:t>
      </w:r>
      <w:r>
        <w:rPr>
          <w:rFonts w:hint="eastAsia" w:ascii="宋体" w:hAnsi="宋体" w:eastAsia="宋体" w:cs="Times New Roman"/>
          <w:sz w:val="21"/>
        </w:rPr>
        <w:t>）在理论研究与工程应用相结合方面，广泛开展校企合作，取得了一些技术应用进展。与深圳市星图智控科技有限公司</w:t>
      </w:r>
      <w:r>
        <w:rPr>
          <w:rFonts w:ascii="宋体" w:hAnsi="宋体" w:eastAsia="宋体" w:cs="Times New Roman"/>
          <w:sz w:val="21"/>
        </w:rPr>
        <w:t>建立了星图智控-武汉工程大学感知智能联合实验室，成功开发了首款</w:t>
      </w:r>
      <w:r>
        <w:rPr>
          <w:rFonts w:hint="eastAsia" w:ascii="宋体" w:hAnsi="宋体" w:eastAsia="宋体" w:cs="Times New Roman"/>
          <w:sz w:val="21"/>
        </w:rPr>
        <w:t>家庭安防消费级</w:t>
      </w:r>
      <w:r>
        <w:rPr>
          <w:rFonts w:ascii="宋体" w:hAnsi="宋体" w:eastAsia="宋体" w:cs="Times New Roman"/>
          <w:sz w:val="21"/>
        </w:rPr>
        <w:t>智能摄像头。该摄像头具有良好的交互功能和智能识别功能，获得2019年CES创新大奖。</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w:t>
      </w:r>
      <w:r>
        <w:rPr>
          <w:rFonts w:ascii="宋体" w:hAnsi="宋体" w:eastAsia="宋体" w:cs="Times New Roman"/>
          <w:sz w:val="21"/>
        </w:rPr>
        <w:t>4</w:t>
      </w:r>
      <w:r>
        <w:rPr>
          <w:rFonts w:hint="eastAsia" w:ascii="宋体" w:hAnsi="宋体" w:eastAsia="宋体" w:cs="Times New Roman"/>
          <w:sz w:val="21"/>
        </w:rPr>
        <w:t>）在师资条件和实验环境方面，已进行了智能科学与技术专业人才的培养实践。我校于</w:t>
      </w:r>
      <w:r>
        <w:rPr>
          <w:rFonts w:ascii="宋体" w:hAnsi="宋体" w:eastAsia="宋体" w:cs="Times New Roman"/>
          <w:sz w:val="21"/>
        </w:rPr>
        <w:t>200</w:t>
      </w:r>
      <w:r>
        <w:rPr>
          <w:rFonts w:hint="eastAsia" w:ascii="宋体" w:hAnsi="宋体" w:eastAsia="宋体" w:cs="Times New Roman"/>
          <w:sz w:val="21"/>
        </w:rPr>
        <w:t xml:space="preserve">6年就设置了智能科学与技术专业，已培养该专业方向的学生共9届 </w:t>
      </w:r>
      <w:r>
        <w:rPr>
          <w:rFonts w:ascii="宋体" w:hAnsi="宋体" w:eastAsia="宋体" w:cs="Times New Roman"/>
          <w:sz w:val="21"/>
        </w:rPr>
        <w:t>4</w:t>
      </w:r>
      <w:r>
        <w:rPr>
          <w:rFonts w:hint="eastAsia" w:ascii="宋体" w:hAnsi="宋体" w:eastAsia="宋体" w:cs="Times New Roman"/>
          <w:sz w:val="21"/>
        </w:rPr>
        <w:t>5</w:t>
      </w:r>
      <w:r>
        <w:rPr>
          <w:rFonts w:ascii="宋体" w:hAnsi="宋体" w:eastAsia="宋体" w:cs="Times New Roman"/>
          <w:sz w:val="21"/>
        </w:rPr>
        <w:t xml:space="preserve">0 </w:t>
      </w:r>
      <w:r>
        <w:rPr>
          <w:rFonts w:hint="eastAsia" w:ascii="宋体" w:hAnsi="宋体" w:eastAsia="宋体" w:cs="Times New Roman"/>
          <w:sz w:val="21"/>
        </w:rPr>
        <w:t>余人。专业现有教师</w:t>
      </w:r>
      <w:r>
        <w:rPr>
          <w:rFonts w:ascii="宋体" w:hAnsi="宋体" w:eastAsia="宋体" w:cs="Times New Roman"/>
          <w:sz w:val="21"/>
        </w:rPr>
        <w:t>18</w:t>
      </w:r>
      <w:r>
        <w:rPr>
          <w:rFonts w:hint="eastAsia" w:ascii="宋体" w:hAnsi="宋体" w:eastAsia="宋体" w:cs="Times New Roman"/>
          <w:sz w:val="21"/>
        </w:rPr>
        <w:t>人，其中教授3人，副教授12人，讲师3人，有湖北省高层次人才、享受国务院津贴专家、“楚天学者”等高层次人才，博士生导师2人。逐步形成了以领军人才为核心、以青年骨干为主力、以高水平课程体系为支撑，产教融合、协同发展的教学发展新模式。近三年来，智能科</w:t>
      </w:r>
      <w:r>
        <w:rPr>
          <w:rFonts w:ascii="宋体" w:hAnsi="宋体" w:eastAsia="宋体" w:cs="Times New Roman"/>
          <w:sz w:val="21"/>
        </w:rPr>
        <w:t>学</w:t>
      </w:r>
      <w:r>
        <w:rPr>
          <w:rFonts w:hint="eastAsia" w:ascii="宋体" w:hAnsi="宋体" w:eastAsia="宋体" w:cs="Times New Roman"/>
          <w:sz w:val="21"/>
        </w:rPr>
        <w:t>与技术专业承担了国家级、省部级项目20余项，发表</w:t>
      </w:r>
      <w:r>
        <w:rPr>
          <w:rFonts w:ascii="宋体" w:hAnsi="宋体" w:eastAsia="宋体" w:cs="Times New Roman"/>
          <w:sz w:val="21"/>
        </w:rPr>
        <w:t>SCI</w:t>
      </w:r>
      <w:r>
        <w:rPr>
          <w:rFonts w:hint="eastAsia" w:ascii="宋体" w:hAnsi="宋体" w:eastAsia="宋体" w:cs="Times New Roman"/>
          <w:sz w:val="21"/>
        </w:rPr>
        <w:t>论文40余篇，ESI高被引论文2篇，本专业学生获得省级以上学科竞赛奖励52项。该专业以智能机器人技术为特色、以机器人足球为平台进行培养。由本专业学生为主组成的机器人足球队在国际机器人足球FIRA比赛中获得14次冠军，近三年来学生获得省级以上奖励52项，毕业生的就业率、考研率和出国率均处于学校的前列。</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综上所述，增设人工智能专业是我校学科和专业建设的需要，可满足国家发展战略和湖北地区经济持续高速发展对该专业人才的需求，并且从全省的专业布局角度来看也是迫切需要的，专业建设所需师资、实验条件等都已基本具备，各方面的条件也已基本成熟。</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 xml:space="preserve">为此我校申请增设人工智能专业，于 </w:t>
      </w:r>
      <w:r>
        <w:rPr>
          <w:rFonts w:ascii="宋体" w:hAnsi="宋体" w:eastAsia="宋体" w:cs="Times New Roman"/>
          <w:sz w:val="21"/>
        </w:rPr>
        <w:t>201</w:t>
      </w:r>
      <w:r>
        <w:rPr>
          <w:rFonts w:hint="eastAsia" w:ascii="宋体" w:hAnsi="宋体" w:eastAsia="宋体" w:cs="Times New Roman"/>
          <w:sz w:val="21"/>
        </w:rPr>
        <w:t>9</w:t>
      </w:r>
      <w:r>
        <w:rPr>
          <w:rFonts w:ascii="宋体" w:hAnsi="宋体" w:eastAsia="宋体" w:cs="Times New Roman"/>
          <w:sz w:val="21"/>
        </w:rPr>
        <w:t xml:space="preserve"> </w:t>
      </w:r>
      <w:r>
        <w:rPr>
          <w:rFonts w:hint="eastAsia" w:ascii="宋体" w:hAnsi="宋体" w:eastAsia="宋体" w:cs="Times New Roman"/>
          <w:sz w:val="21"/>
        </w:rPr>
        <w:t xml:space="preserve">年 </w:t>
      </w:r>
      <w:r>
        <w:rPr>
          <w:rFonts w:ascii="宋体" w:hAnsi="宋体" w:eastAsia="宋体" w:cs="Times New Roman"/>
          <w:sz w:val="21"/>
        </w:rPr>
        <w:t xml:space="preserve">9 </w:t>
      </w:r>
      <w:r>
        <w:rPr>
          <w:rFonts w:hint="eastAsia" w:ascii="宋体" w:hAnsi="宋体" w:eastAsia="宋体" w:cs="Times New Roman"/>
          <w:sz w:val="21"/>
        </w:rPr>
        <w:t>月开始招生，初步计划招生人数为100人</w:t>
      </w:r>
      <w:r>
        <w:rPr>
          <w:rFonts w:ascii="宋体" w:hAnsi="宋体" w:eastAsia="宋体" w:cs="Times New Roman"/>
          <w:sz w:val="21"/>
        </w:rPr>
        <w:t>/</w:t>
      </w:r>
      <w:r>
        <w:rPr>
          <w:rFonts w:hint="eastAsia" w:ascii="宋体" w:hAnsi="宋体" w:eastAsia="宋体" w:cs="Times New Roman"/>
          <w:sz w:val="21"/>
        </w:rPr>
        <w:t>年。</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b/>
          <w:bCs/>
          <w:sz w:val="21"/>
        </w:rPr>
      </w:pPr>
      <w:r>
        <w:rPr>
          <w:rFonts w:hint="eastAsia" w:ascii="宋体" w:hAnsi="宋体" w:eastAsia="宋体" w:cs="Times New Roman"/>
          <w:b/>
          <w:bCs/>
          <w:sz w:val="21"/>
        </w:rPr>
        <w:t>三、学校专业发展规划</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武汉工程大学是湖北省重点建设高校，是“中西部高校基础能力建设工程（小</w:t>
      </w:r>
      <w:r>
        <w:rPr>
          <w:rFonts w:ascii="宋体" w:hAnsi="宋体" w:eastAsia="宋体" w:cs="Times New Roman"/>
          <w:sz w:val="21"/>
        </w:rPr>
        <w:t xml:space="preserve">211 </w:t>
      </w:r>
      <w:r>
        <w:rPr>
          <w:rFonts w:hint="eastAsia" w:ascii="宋体" w:hAnsi="宋体" w:eastAsia="宋体" w:cs="Times New Roman"/>
          <w:sz w:val="21"/>
        </w:rPr>
        <w:t>工程）</w:t>
      </w:r>
      <w:r>
        <w:rPr>
          <w:rFonts w:ascii="宋体" w:hAnsi="宋体" w:eastAsia="宋体" w:cs="Times New Roman"/>
          <w:sz w:val="21"/>
        </w:rPr>
        <w:t>”</w:t>
      </w:r>
      <w:r>
        <w:rPr>
          <w:rFonts w:hint="eastAsia" w:ascii="宋体" w:hAnsi="宋体" w:eastAsia="宋体" w:cs="Times New Roman"/>
          <w:sz w:val="21"/>
        </w:rPr>
        <w:t>单位和博士学位授予单位。学校以国家和湖北省中长期教育发展规划为指导，坚持“以本为本”，深入推进“四个回归”，近年来按照“全面成才，追求卓越”的人才培养理念，以“一本生源”为起点，以“两型两化”（创新型、复合型、国际化、工程化）为目标，以“三实一创”（实验、实训、实习，创新）为核心，配套开展“四项制度”改革（大类招生制度、选拔分流制度、学季制度、导师制度），全面实施“1151”教学质量保障体系和“54321”质量监控改进体系，持续推进高水平人才培养体系建设。</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学校按照“产教融合、学科专业交叉融合”的路径，不断完善“中外联合、校企合作、跨院协同”的协同育人机制，重点强化实践教学体系建设。在坚持“面向行业、服务地方”的办学定位基础上，为适应区域经济社会转型对人才需求以及学生成长成才需求的“多元化、实用性”趋势，学校先后组织实施了以“三实一创”为核心的工程教育改革（2009）、“两型两化”人才培养模式改革（2012）、人才培养国际化推进（2015）、</w:t>
      </w:r>
      <w:r>
        <w:fldChar w:fldCharType="begin"/>
      </w:r>
      <w:r>
        <w:instrText xml:space="preserve"> HYPERLINK "http://oa.wit.edu.cn/fileReleasePub/javascript:void(0);" \o "关于印发《武汉工程大学深化创新创业教育改革实施方案》的通知" </w:instrText>
      </w:r>
      <w:r>
        <w:fldChar w:fldCharType="separate"/>
      </w:r>
      <w:r>
        <w:rPr>
          <w:rStyle w:val="11"/>
          <w:rFonts w:hint="eastAsia" w:ascii="宋体" w:hAnsi="宋体" w:eastAsia="宋体" w:cs="Times New Roman"/>
          <w:color w:val="auto"/>
          <w:sz w:val="21"/>
          <w:u w:val="none"/>
        </w:rPr>
        <w:t>创新创业教育改革</w:t>
      </w:r>
      <w:r>
        <w:rPr>
          <w:rStyle w:val="11"/>
          <w:rFonts w:hint="eastAsia" w:ascii="宋体" w:hAnsi="宋体" w:eastAsia="宋体" w:cs="Times New Roman"/>
          <w:color w:val="auto"/>
          <w:sz w:val="21"/>
          <w:u w:val="none"/>
        </w:rPr>
        <w:fldChar w:fldCharType="end"/>
      </w:r>
      <w:r>
        <w:rPr>
          <w:rFonts w:hint="eastAsia" w:ascii="宋体" w:hAnsi="宋体" w:eastAsia="宋体" w:cs="Times New Roman"/>
          <w:sz w:val="21"/>
        </w:rPr>
        <w:t>（2017）等重大改革。以“三实一创”为核心的“两型两化”培养模式改革覆盖了学校50%以上的专业。</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学校开创了“E+”双专业一体化复合型人才培养模式，较早尝试以学科交叉融合为抓手推进“新工科”、“新文科”建设。2006年以来，先后开办了6个“英语+专业”（即“E+”，包括英语+法学、英语+市场营销、英语+软件工程、英语+化工、英语+会计学、英语+材料化学）双专业项目。在这一模式引领下，又先后开办了“国贸+法学”、“英语+日语”以及化工管理班、艺术设计管理班、会计学（ACCA方向）、经济学（CFA方向）等项目。“E+”模式先后获批为国家级人才培养模式创新实验区及国家级教学成果二等奖，“两型两化”复合型人才培养模式荣获省级教学成果一等奖。</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建设人工智能专业，培养人工智能人才，是武汉工程大学发挥自身特色，推进“双一流”学科建设和人才培养的多重需要，是适应当前国家经济建设、社会转型、教育改革的重要举措，是落实学校本科专业发展规划的具体行动。</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b/>
          <w:bCs/>
          <w:sz w:val="21"/>
        </w:rPr>
        <w:t>人工智能专业发展具体措施：</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w:t>
      </w:r>
      <w:r>
        <w:rPr>
          <w:rFonts w:ascii="宋体" w:hAnsi="宋体" w:eastAsia="宋体" w:cs="Times New Roman"/>
          <w:sz w:val="21"/>
        </w:rPr>
        <w:t>1</w:t>
      </w:r>
      <w:r>
        <w:rPr>
          <w:rFonts w:hint="eastAsia" w:ascii="宋体" w:hAnsi="宋体" w:eastAsia="宋体" w:cs="Times New Roman"/>
          <w:sz w:val="21"/>
        </w:rPr>
        <w:t>）强化顶层设计，加强组织实施</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学校和学院将邀请国内外同行知名专家，成立人工智能专业专家指导委员会，做好该专业的顶层设计和决策指导；同时设立人工智能学院，负责落实该专业的建设和教学任务，进一步完善人才培养方案，在专业建设方面加大投入力度。</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（2）大力引进高层次人才，打造一支高水平的专业师资</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依托学校“十三五”发展规划的“楚天学者计划”、“工大学子计划”，进一步加大人工智能专业高层次人才引进力度，大力提升我校人工智能专业的学术水平和办学层次，探索和实践“学术领军人物＋创新团队”的人才队伍组织新模式。同时，立足内部培养，加快教师队伍博士化国际化进程，利用学校公派教师出国留学的培养计划，选派更多的优秀中青年学术骨干出国访学。通过外引内培并举，加强引进高层次人才和现有师资队伍的深度融合发展，为人工智能专业发展提供可靠的师资保障。</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（3）建立健全专业人才培养体系</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围绕我校“两型两化”人才培养模式改革，深化人工智能人才培养体制机制改革，建立知识传授、能力培养和素质养成“三位一体”的教育模式，探索多元创新人才培养模式，科学设计培养方案、课程体系和组织教学环节，加强网上共享课程开发，提高核心课程质量。同时，完善教育教学激励体系，鼓励教师把主要精力投入到教学和人才培养当中。加强思想政治教育工作，将立德树人贯穿到人才培养各环节。</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（4）深化产教融合,强化校企协同育人的实践教学</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计算机科学与工程学院已与北京百度网讯科技有限公司、深圳市京科凌智技术有限公司进行了充分沟通和研讨，合作共同成立“武汉工程大学</w:t>
      </w:r>
      <w:r>
        <w:rPr>
          <w:rFonts w:ascii="宋体" w:hAnsi="宋体" w:eastAsia="宋体" w:cs="Times New Roman"/>
          <w:sz w:val="21"/>
        </w:rPr>
        <w:t>-</w:t>
      </w:r>
      <w:r>
        <w:rPr>
          <w:rFonts w:hint="eastAsia" w:ascii="宋体" w:hAnsi="宋体" w:eastAsia="宋体" w:cs="Times New Roman"/>
          <w:sz w:val="21"/>
        </w:rPr>
        <w:t>百度人工智能研究院”，作为人工智能科研的载体，面向社会开展人工智能技术应用研究和科研创新，形成“人工智能</w:t>
      </w:r>
      <w:r>
        <w:rPr>
          <w:rFonts w:ascii="宋体" w:hAnsi="宋体" w:eastAsia="宋体" w:cs="Times New Roman"/>
          <w:sz w:val="21"/>
        </w:rPr>
        <w:t>+X</w:t>
      </w:r>
      <w:r>
        <w:rPr>
          <w:rFonts w:hint="eastAsia" w:ascii="宋体" w:hAnsi="宋体" w:eastAsia="宋体" w:cs="Times New Roman"/>
          <w:sz w:val="21"/>
        </w:rPr>
        <w:t>（专业）”科研体系，为地方政企提供人工智能技术服务，同时也作为学生的实训实践基地，力争将研究院打造成湖北省“人工智能区域协同创新中心”。</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ascii="宋体" w:hAnsi="宋体" w:eastAsia="宋体" w:cs="Times New Roman"/>
          <w:sz w:val="21"/>
        </w:rPr>
        <w:t xml:space="preserve">    </w:t>
      </w:r>
      <w:r>
        <w:rPr>
          <w:rFonts w:hint="eastAsia" w:ascii="宋体" w:hAnsi="宋体" w:eastAsia="宋体" w:cs="Times New Roman"/>
          <w:sz w:val="21"/>
        </w:rPr>
        <w:t>(5) 灵活的管理模式与运行机制</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宋体" w:hAnsi="宋体" w:eastAsia="宋体" w:cs="Times New Roman"/>
          <w:sz w:val="21"/>
        </w:rPr>
      </w:pPr>
      <w:r>
        <w:rPr>
          <w:rFonts w:hint="eastAsia" w:ascii="宋体" w:hAnsi="宋体" w:eastAsia="宋体" w:cs="Times New Roman"/>
          <w:sz w:val="21"/>
        </w:rPr>
        <w:t xml:space="preserve"> </w:t>
      </w:r>
      <w:r>
        <w:rPr>
          <w:rFonts w:ascii="宋体" w:hAnsi="宋体" w:eastAsia="宋体" w:cs="Times New Roman"/>
          <w:sz w:val="21"/>
        </w:rPr>
        <w:t xml:space="preserve">   </w:t>
      </w:r>
      <w:r>
        <w:rPr>
          <w:rFonts w:hint="eastAsia" w:ascii="宋体" w:hAnsi="宋体" w:eastAsia="宋体" w:cs="Times New Roman"/>
          <w:sz w:val="21"/>
        </w:rPr>
        <w:t>在管理模式与运行机制上，初创期人工智能学院与计算机科学与工程学院实行双院合署办公，根据发展实际和需要，再进行运行机制改革。关于学院的企业冠名与合作模式，遵从“技术领先、项目优先、合作共赢、打造优势”的原则，创新学院管理模式，赋予学院相应办学自主权，争取将相关领域打造新的学科增长点，构筑人才高地、学术高原、创新高峰。</w:t>
      </w:r>
    </w:p>
    <w:p>
      <w:pPr>
        <w:pBdr>
          <w:top w:val="single" w:color="000000" w:sz="4" w:space="0"/>
          <w:left w:val="single" w:color="000000" w:sz="4" w:space="0"/>
          <w:bottom w:val="single" w:color="000000" w:sz="4" w:space="0"/>
          <w:right w:val="single" w:color="000000" w:sz="4" w:space="0"/>
        </w:pBdr>
        <w:spacing w:after="6" w:line="384" w:lineRule="auto"/>
        <w:ind w:left="87" w:hanging="10"/>
        <w:rPr>
          <w:rFonts w:ascii="微软雅黑" w:hAnsi="微软雅黑" w:eastAsia="微软雅黑"/>
        </w:rPr>
      </w:pPr>
    </w:p>
    <w:p>
      <w:r>
        <w:br w:type="page"/>
      </w:r>
    </w:p>
    <w:p>
      <w:pPr>
        <w:pStyle w:val="3"/>
        <w:ind w:left="82" w:right="0"/>
        <w:jc w:val="center"/>
      </w:pPr>
      <w:r>
        <w:t>8.</w:t>
      </w:r>
      <w:r>
        <w:rPr>
          <w:rFonts w:hint="eastAsia"/>
        </w:rPr>
        <w:t>申请增设专业人才培养方案</w:t>
      </w:r>
      <w:r>
        <w:t xml:space="preserve"> </w:t>
      </w:r>
    </w:p>
    <w:p>
      <w:pPr>
        <w:spacing w:after="24"/>
        <w:ind w:left="77"/>
        <w:rPr>
          <w:rFonts w:ascii="微软雅黑" w:hAnsi="微软雅黑" w:eastAsia="微软雅黑"/>
        </w:rPr>
      </w:pPr>
      <w:r>
        <w:rPr>
          <w:rFonts w:ascii="微软雅黑" w:hAnsi="微软雅黑" w:eastAsia="微软雅黑" w:cs="Arial"/>
          <w:sz w:val="24"/>
        </w:rPr>
        <w:t xml:space="preserve"> </w:t>
      </w:r>
    </w:p>
    <w:p>
      <w:pPr>
        <w:pBdr>
          <w:top w:val="single" w:color="000000" w:sz="4" w:space="0"/>
          <w:left w:val="single" w:color="000000" w:sz="4" w:space="0"/>
          <w:bottom w:val="single" w:color="000000" w:sz="4" w:space="0"/>
          <w:right w:val="single" w:color="000000" w:sz="4" w:space="0"/>
        </w:pBdr>
        <w:spacing w:after="6"/>
        <w:ind w:left="87" w:hanging="10"/>
        <w:rPr>
          <w:rFonts w:ascii="微软雅黑" w:hAnsi="微软雅黑" w:eastAsia="微软雅黑"/>
        </w:rPr>
      </w:pPr>
      <w:r>
        <w:rPr>
          <w:rFonts w:ascii="微软雅黑" w:hAnsi="微软雅黑" w:eastAsia="微软雅黑" w:cs="微软雅黑"/>
          <w:sz w:val="24"/>
        </w:rPr>
        <w:t>（包括培养目标、基本要求、修业年限、授予学位、主要课程、主要实践性教学环节和主要专业实验、教学计划等内容）（如需要可加页）</w:t>
      </w:r>
    </w:p>
    <w:p>
      <w:pPr>
        <w:pBdr>
          <w:top w:val="single" w:color="000000" w:sz="4" w:space="0"/>
          <w:left w:val="single" w:color="000000" w:sz="4" w:space="0"/>
          <w:bottom w:val="single" w:color="000000" w:sz="4" w:space="0"/>
          <w:right w:val="single" w:color="000000" w:sz="4" w:space="0"/>
        </w:pBdr>
        <w:spacing w:after="64"/>
        <w:ind w:left="87" w:hanging="10"/>
        <w:rPr>
          <w:rFonts w:ascii="微软雅黑" w:hAnsi="微软雅黑" w:eastAsia="微软雅黑"/>
        </w:rPr>
      </w:pPr>
    </w:p>
    <w:p>
      <w:pPr>
        <w:pBdr>
          <w:top w:val="single" w:color="000000" w:sz="4" w:space="0"/>
          <w:left w:val="single" w:color="000000" w:sz="4" w:space="0"/>
          <w:bottom w:val="single" w:color="000000" w:sz="4" w:space="0"/>
          <w:right w:val="single" w:color="000000" w:sz="4" w:space="0"/>
        </w:pBdr>
        <w:spacing w:after="64"/>
        <w:ind w:left="87" w:hanging="10"/>
        <w:jc w:val="center"/>
        <w:rPr>
          <w:rFonts w:ascii="微软雅黑" w:hAnsi="微软雅黑" w:eastAsia="微软雅黑"/>
          <w:b/>
          <w:bCs/>
          <w:sz w:val="28"/>
          <w:szCs w:val="28"/>
        </w:rPr>
      </w:pPr>
      <w:r>
        <w:rPr>
          <w:rFonts w:hint="eastAsia" w:ascii="微软雅黑" w:hAnsi="微软雅黑" w:eastAsia="微软雅黑"/>
          <w:b/>
          <w:bCs/>
          <w:sz w:val="28"/>
          <w:szCs w:val="28"/>
        </w:rPr>
        <w:t xml:space="preserve">武汉工程大学人工智能专业 </w:t>
      </w:r>
      <w:r>
        <w:rPr>
          <w:rFonts w:ascii="微软雅黑" w:hAnsi="微软雅黑" w:eastAsia="微软雅黑"/>
          <w:b/>
          <w:bCs/>
          <w:sz w:val="28"/>
          <w:szCs w:val="28"/>
        </w:rPr>
        <w:t>本科专业人才</w:t>
      </w:r>
      <w:r>
        <w:rPr>
          <w:rFonts w:hint="eastAsia" w:ascii="微软雅黑" w:hAnsi="微软雅黑" w:eastAsia="微软雅黑"/>
          <w:b/>
          <w:bCs/>
          <w:sz w:val="28"/>
          <w:szCs w:val="28"/>
        </w:rPr>
        <w:t>培养</w:t>
      </w:r>
      <w:r>
        <w:rPr>
          <w:rFonts w:ascii="微软雅黑" w:hAnsi="微软雅黑" w:eastAsia="微软雅黑"/>
          <w:b/>
          <w:bCs/>
          <w:sz w:val="28"/>
          <w:szCs w:val="28"/>
        </w:rPr>
        <w:t>方案</w:t>
      </w:r>
    </w:p>
    <w:p>
      <w:pPr>
        <w:pBdr>
          <w:top w:val="single" w:color="000000" w:sz="4" w:space="0"/>
          <w:left w:val="single" w:color="000000" w:sz="4" w:space="0"/>
          <w:bottom w:val="single" w:color="000000" w:sz="4" w:space="0"/>
          <w:right w:val="single" w:color="000000" w:sz="4" w:space="0"/>
        </w:pBdr>
        <w:spacing w:after="64"/>
        <w:ind w:left="87" w:hanging="10"/>
        <w:jc w:val="center"/>
        <w:rPr>
          <w:rFonts w:ascii="微软雅黑" w:hAnsi="微软雅黑" w:eastAsia="微软雅黑"/>
          <w:b/>
          <w:bCs/>
          <w:sz w:val="28"/>
          <w:szCs w:val="28"/>
        </w:rPr>
      </w:pPr>
    </w:p>
    <w:p>
      <w:pPr>
        <w:pStyle w:val="19"/>
        <w:numPr>
          <w:ilvl w:val="0"/>
          <w:numId w:val="1"/>
        </w:numPr>
        <w:pBdr>
          <w:top w:val="single" w:color="000000" w:sz="4" w:space="0"/>
          <w:left w:val="single" w:color="000000" w:sz="4" w:space="0"/>
          <w:bottom w:val="single" w:color="000000" w:sz="4" w:space="0"/>
          <w:right w:val="single" w:color="000000" w:sz="4" w:space="0"/>
        </w:pBdr>
        <w:spacing w:after="64"/>
        <w:ind w:firstLineChars="0"/>
        <w:rPr>
          <w:rFonts w:ascii="微软雅黑" w:hAnsi="微软雅黑" w:eastAsia="微软雅黑"/>
          <w:b/>
          <w:bCs/>
          <w:sz w:val="28"/>
          <w:szCs w:val="28"/>
        </w:rPr>
      </w:pPr>
      <w:r>
        <w:rPr>
          <w:rFonts w:hint="eastAsia" w:ascii="黑体" w:hAnsi="黑体" w:eastAsia="黑体" w:cs="黑体"/>
          <w:b/>
          <w:bCs/>
          <w:color w:val="000000" w:themeColor="text1"/>
          <w:sz w:val="28"/>
          <w:szCs w:val="28"/>
          <w14:textFill>
            <w14:solidFill>
              <w14:schemeClr w14:val="tx1"/>
            </w14:solidFill>
          </w14:textFill>
        </w:rPr>
        <w:t>培养目标</w:t>
      </w: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b/>
          <w:bCs/>
          <w:sz w:val="28"/>
          <w:szCs w:val="28"/>
        </w:rPr>
      </w:pPr>
      <w:r>
        <w:rPr>
          <w:rFonts w:hint="eastAsia" w:ascii="微软雅黑" w:hAnsi="微软雅黑" w:eastAsia="微软雅黑" w:cs="微软雅黑"/>
          <w:color w:val="000000" w:themeColor="text1"/>
          <w14:textFill>
            <w14:solidFill>
              <w14:schemeClr w14:val="tx1"/>
            </w14:solidFill>
          </w14:textFill>
        </w:rPr>
        <w:t>人工智能专业立足湖北面向全国，落实立德树人根本任务，以服务区域经济发展和人工智能高素质人才培养为使命。培养具有良好的道德修养、遵纪守法，具有社会责任意识，掌握扎实的数理基础知识及计算机科学与技术相关的基本理论、知识、技能和方法，包括科学思维能力和设计解决方案、实现人工智能系统的能力；同时具备良好的沟通能力和协作能力，项目管理能力，具备终生学习拓展自我的能力；具备良好的国际视野能够跟踪学科发展前沿，且具备较强的创新意识和能力，能从事人工智能系统相关的研究、开发、部署与应用等领域工作创新型、复合型和工程化的高级专门人才。</w:t>
      </w: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学生毕业后可以在信息产业类企事业单位、政府机关及基层单位，从事人工智能系统的软硬件设计、开发和维护工作；也可以进入国内外高等院校、科研院所继续深造。</w:t>
      </w:r>
    </w:p>
    <w:p>
      <w:pPr>
        <w:pStyle w:val="19"/>
        <w:numPr>
          <w:ilvl w:val="0"/>
          <w:numId w:val="1"/>
        </w:numPr>
        <w:pBdr>
          <w:top w:val="single" w:color="000000" w:sz="4" w:space="0"/>
          <w:left w:val="single" w:color="000000" w:sz="4" w:space="0"/>
          <w:bottom w:val="single" w:color="000000" w:sz="4" w:space="0"/>
          <w:right w:val="single" w:color="000000" w:sz="4" w:space="0"/>
        </w:pBdr>
        <w:spacing w:after="64"/>
        <w:ind w:firstLineChars="0"/>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毕业要求</w:t>
      </w:r>
    </w:p>
    <w:p>
      <w:pPr>
        <w:pBdr>
          <w:top w:val="single" w:color="000000" w:sz="4" w:space="0"/>
          <w:left w:val="single" w:color="000000" w:sz="4" w:space="0"/>
          <w:bottom w:val="single" w:color="000000" w:sz="4" w:space="0"/>
          <w:right w:val="single" w:color="000000" w:sz="4" w:space="0"/>
        </w:pBdr>
        <w:spacing w:after="64"/>
        <w:ind w:left="77" w:firstLine="643"/>
        <w:rPr>
          <w:rFonts w:ascii="黑体" w:hAnsi="黑体" w:eastAsia="黑体" w:cs="黑体"/>
          <w:b/>
          <w:b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本专业毕业生应达到如下在知识、能力和素质方面的要求。</w:t>
      </w:r>
    </w:p>
    <w:p>
      <w:pPr>
        <w:pBdr>
          <w:top w:val="single" w:color="000000" w:sz="4" w:space="0"/>
          <w:left w:val="single" w:color="000000" w:sz="4" w:space="0"/>
          <w:bottom w:val="single" w:color="000000" w:sz="4" w:space="0"/>
          <w:right w:val="single" w:color="000000" w:sz="4" w:space="0"/>
        </w:pBdr>
        <w:spacing w:after="64"/>
        <w:ind w:left="77" w:firstLine="643"/>
        <w:rPr>
          <w:rFonts w:ascii="黑体" w:hAnsi="黑体" w:eastAsia="黑体" w:cs="黑体"/>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1</w:t>
      </w:r>
      <w:r>
        <w:rPr>
          <w:rFonts w:ascii="微软雅黑" w:hAnsi="微软雅黑" w:eastAsia="微软雅黑" w:cs="微软雅黑"/>
          <w:b/>
          <w:bCs/>
          <w:color w:val="000000" w:themeColor="text1"/>
          <w14:textFill>
            <w14:solidFill>
              <w14:schemeClr w14:val="tx1"/>
            </w14:solidFill>
          </w14:textFill>
        </w:rPr>
        <w:t xml:space="preserve">. </w:t>
      </w:r>
      <w:r>
        <w:rPr>
          <w:rFonts w:hint="eastAsia" w:ascii="微软雅黑" w:hAnsi="微软雅黑" w:eastAsia="微软雅黑" w:cs="微软雅黑"/>
          <w:b/>
          <w:bCs/>
          <w:color w:val="000000" w:themeColor="text1"/>
          <w14:textFill>
            <w14:solidFill>
              <w14:schemeClr w14:val="tx1"/>
            </w14:solidFill>
          </w14:textFill>
        </w:rPr>
        <w:t>工程知识</w:t>
      </w:r>
      <w:r>
        <w:rPr>
          <w:rFonts w:hint="eastAsia" w:ascii="微软雅黑" w:hAnsi="微软雅黑" w:eastAsia="微软雅黑" w:cs="微软雅黑"/>
          <w:color w:val="000000" w:themeColor="text1"/>
          <w14:textFill>
            <w14:solidFill>
              <w14:schemeClr w14:val="tx1"/>
            </w14:solidFill>
          </w14:textFill>
        </w:rPr>
        <w:t>：掌握扎实的数学和自然科学基础知识，系统掌握计算机学科的工程基础和专业知识，能够运用各类知识解决复杂的实际工程问题。</w:t>
      </w: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color w:val="000000" w:themeColor="text1"/>
          <w14:textFill>
            <w14:solidFill>
              <w14:schemeClr w14:val="tx1"/>
            </w14:solidFill>
          </w14:textFill>
        </w:rPr>
        <w:t xml:space="preserve">1.1 </w:t>
      </w:r>
      <w:r>
        <w:rPr>
          <w:rFonts w:hint="eastAsia" w:ascii="微软雅黑" w:hAnsi="微软雅黑" w:eastAsia="微软雅黑" w:cs="微软雅黑"/>
          <w:color w:val="000000" w:themeColor="text1"/>
          <w14:textFill>
            <w14:solidFill>
              <w14:schemeClr w14:val="tx1"/>
            </w14:solidFill>
          </w14:textFill>
        </w:rPr>
        <w:t>(权重0.3</w:t>
      </w:r>
      <w:r>
        <w:rPr>
          <w:rFonts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掌握数学与自然科学的基本概念、理论和技能，培养系统的逻辑思维和逻辑推理能力；</w:t>
      </w: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color w:val="000000" w:themeColor="text1"/>
          <w14:textFill>
            <w14:solidFill>
              <w14:schemeClr w14:val="tx1"/>
            </w14:solidFill>
          </w14:textFill>
        </w:rPr>
        <w:t xml:space="preserve">1.2 </w:t>
      </w:r>
      <w:r>
        <w:rPr>
          <w:rFonts w:hint="eastAsia" w:ascii="宋体" w:hAnsi="宋体"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宋体" w:hAnsi="宋体" w:cs="宋体"/>
          <w:color w:val="000000" w:themeColor="text1"/>
          <w14:textFill>
            <w14:solidFill>
              <w14:schemeClr w14:val="tx1"/>
            </w14:solidFill>
          </w14:textFill>
        </w:rPr>
        <w:t>0.3</w:t>
      </w:r>
      <w:r>
        <w:rPr>
          <w:rFonts w:ascii="宋体" w:hAnsi="宋体"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掌握扎实的计算机学科工程基础知识，掌握使用计算机解决复杂工程问题的基本方法以及相关的开发原则；</w:t>
      </w: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color w:val="000000" w:themeColor="text1"/>
          <w14:textFill>
            <w14:solidFill>
              <w14:schemeClr w14:val="tx1"/>
            </w14:solidFill>
          </w14:textFill>
        </w:rPr>
        <w:t xml:space="preserve">1.3 </w:t>
      </w:r>
      <w:r>
        <w:rPr>
          <w:rFonts w:hint="eastAsia" w:ascii="宋体" w:hAnsi="宋体"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宋体" w:hAnsi="宋体" w:cs="宋体"/>
          <w:color w:val="000000" w:themeColor="text1"/>
          <w14:textFill>
            <w14:solidFill>
              <w14:schemeClr w14:val="tx1"/>
            </w14:solidFill>
          </w14:textFill>
        </w:rPr>
        <w:t>0.4</w:t>
      </w:r>
      <w:r>
        <w:rPr>
          <w:rFonts w:ascii="宋体" w:hAnsi="宋体"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系统掌握计算机软硬件的基本知识，掌握计算机硬件和软件系统开发的基本技能，理解解决复杂工程技术问题的基本方法。</w:t>
      </w: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cs="微软雅黑"/>
          <w:color w:val="000000" w:themeColor="text1"/>
          <w14:textFill>
            <w14:solidFill>
              <w14:schemeClr w14:val="tx1"/>
            </w14:solidFill>
          </w14:textFill>
        </w:rPr>
      </w:pPr>
    </w:p>
    <w:p>
      <w:pPr>
        <w:pBdr>
          <w:top w:val="single" w:color="000000" w:sz="4" w:space="0"/>
          <w:left w:val="single" w:color="000000" w:sz="4" w:space="0"/>
          <w:bottom w:val="single" w:color="000000" w:sz="4" w:space="0"/>
          <w:right w:val="single" w:color="000000" w:sz="4" w:space="0"/>
        </w:pBdr>
        <w:spacing w:after="64"/>
        <w:ind w:left="77" w:firstLine="643"/>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b/>
          <w:bCs/>
          <w:color w:val="000000" w:themeColor="text1"/>
          <w14:textFill>
            <w14:solidFill>
              <w14:schemeClr w14:val="tx1"/>
            </w14:solidFill>
          </w14:textFill>
        </w:rPr>
        <w:t xml:space="preserve"> 2.</w:t>
      </w:r>
      <w:r>
        <w:rPr>
          <w:rFonts w:hint="eastAsia" w:ascii="微软雅黑" w:hAnsi="微软雅黑" w:eastAsia="微软雅黑" w:cs="微软雅黑"/>
          <w:b/>
          <w:bCs/>
          <w:color w:val="000000" w:themeColor="text1"/>
          <w14:textFill>
            <w14:solidFill>
              <w14:schemeClr w14:val="tx1"/>
            </w14:solidFill>
          </w14:textFill>
        </w:rPr>
        <w:t>问题分析：</w:t>
      </w:r>
      <w:r>
        <w:rPr>
          <w:rFonts w:hint="eastAsia" w:ascii="微软雅黑" w:hAnsi="微软雅黑" w:eastAsia="微软雅黑" w:cs="微软雅黑"/>
          <w:color w:val="000000" w:themeColor="text1"/>
          <w14:textFill>
            <w14:solidFill>
              <w14:schemeClr w14:val="tx1"/>
            </w14:solidFill>
          </w14:textFill>
        </w:rPr>
        <w:t>能力利用数学、自然科学特别是计算机科学的基本原理，抽象和归纳复杂工程问题的模型，并能够运用文献研究和分析工程问题得到合理的结论。</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2.1</w:t>
      </w:r>
      <w:r>
        <w:rPr>
          <w:rFonts w:ascii="微软雅黑" w:hAnsi="微软雅黑" w:eastAsia="微软雅黑" w:cs="微软雅黑"/>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(权重0.2</w:t>
      </w:r>
      <w:r>
        <w:rPr>
          <w:rFonts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能够对一个具体的工程问题进行抽象和识别，建立合适的模型抽象表达，并能进行模型的求解和验证；</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2.2</w:t>
      </w:r>
      <w:r>
        <w:rPr>
          <w:rFonts w:ascii="微软雅黑" w:hAnsi="微软雅黑" w:eastAsia="微软雅黑" w:cs="微软雅黑"/>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(权重0.2</w:t>
      </w:r>
      <w:r>
        <w:rPr>
          <w:rFonts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能够对实际的工程案例发现问题，提出问题和分析问题；</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2.3</w:t>
      </w:r>
      <w:r>
        <w:rPr>
          <w:rFonts w:ascii="微软雅黑" w:hAnsi="微软雅黑" w:eastAsia="微软雅黑" w:cs="微软雅黑"/>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(权重0.3</w:t>
      </w:r>
      <w:r>
        <w:rPr>
          <w:rFonts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能够对复杂的智能系统问题进行需求分析和描述；</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2.4</w:t>
      </w:r>
      <w:r>
        <w:rPr>
          <w:rFonts w:ascii="微软雅黑" w:hAnsi="微软雅黑" w:eastAsia="微软雅黑" w:cs="微软雅黑"/>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(权重0.3</w:t>
      </w:r>
      <w:r>
        <w:rPr>
          <w:rFonts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能够通过文献研究得出针对实际工程问题的合理结论。</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b/>
          <w:bCs/>
          <w:color w:val="000000" w:themeColor="text1"/>
          <w14:textFill>
            <w14:solidFill>
              <w14:schemeClr w14:val="tx1"/>
            </w14:solidFill>
          </w14:textFill>
        </w:rPr>
        <w:t>3.</w:t>
      </w:r>
      <w:r>
        <w:rPr>
          <w:rFonts w:hint="eastAsia" w:ascii="微软雅黑" w:hAnsi="微软雅黑" w:eastAsia="微软雅黑" w:cs="微软雅黑"/>
          <w:b/>
          <w:bCs/>
          <w:color w:val="000000" w:themeColor="text1"/>
          <w14:textFill>
            <w14:solidFill>
              <w14:schemeClr w14:val="tx1"/>
            </w14:solidFill>
          </w14:textFill>
        </w:rPr>
        <w:t>设计解决方案：</w:t>
      </w:r>
      <w:r>
        <w:rPr>
          <w:rFonts w:hint="eastAsia" w:ascii="微软雅黑" w:hAnsi="微软雅黑" w:eastAsia="微软雅黑" w:cs="微软雅黑"/>
          <w:color w:val="000000" w:themeColor="text1"/>
          <w14:textFill>
            <w14:solidFill>
              <w14:schemeClr w14:val="tx1"/>
            </w14:solidFill>
          </w14:textFill>
        </w:rPr>
        <w:t>能够设计针对智能系统领域复杂工程问题的解决方案，设计满足特定需求的系统、单元或算法流程，并能够在设计环节中体现创新意识，考虑社会、健康、安全、法律、文化以及环境等因素。</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3.1(</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理解人工智能系统硬件从组成到功能实现的电路、操作系统、功能设计等基本原理和设计方法；</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3.2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0.2</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理解满足特定需求功能对应软件功能实现的基本原理和方法，设计相对应的硬件基础平台、功能单元或者算法流程；</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3.3(</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能够在满足社会、健康、安全、法律、文化等条件下，设计满足特定需求的实际复杂工程问题的解决方案；</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3.4</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在设计的过程中要体现创新性，能够创造性的解决复杂工程问题。</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color w:val="000000" w:themeColor="text1"/>
          <w14:textFill>
            <w14:solidFill>
              <w14:schemeClr w14:val="tx1"/>
            </w14:solidFill>
          </w14:textFill>
        </w:rPr>
        <w:t>4.</w:t>
      </w:r>
      <w:r>
        <w:rPr>
          <w:rFonts w:hint="eastAsia" w:ascii="微软雅黑" w:hAnsi="微软雅黑" w:eastAsia="微软雅黑" w:cs="宋体"/>
          <w:b/>
          <w:bCs/>
          <w:color w:val="000000" w:themeColor="text1"/>
          <w14:textFill>
            <w14:solidFill>
              <w14:schemeClr w14:val="tx1"/>
            </w14:solidFill>
          </w14:textFill>
        </w:rPr>
        <w:t>科学</w:t>
      </w:r>
      <w:r>
        <w:rPr>
          <w:rFonts w:hint="eastAsia" w:ascii="微软雅黑" w:hAnsi="微软雅黑" w:eastAsia="微软雅黑" w:cs="微软雅黑"/>
          <w:b/>
          <w:bCs/>
          <w:color w:val="000000" w:themeColor="text1"/>
          <w14:textFill>
            <w14:solidFill>
              <w14:schemeClr w14:val="tx1"/>
            </w14:solidFill>
          </w14:textFill>
        </w:rPr>
        <w:t>研究</w:t>
      </w:r>
      <w:r>
        <w:rPr>
          <w:rFonts w:hint="eastAsia" w:ascii="微软雅黑" w:hAnsi="微软雅黑" w:eastAsia="微软雅黑" w:cs="微软雅黑"/>
          <w:color w:val="000000" w:themeColor="text1"/>
          <w14:textFill>
            <w14:solidFill>
              <w14:schemeClr w14:val="tx1"/>
            </w14:solidFill>
          </w14:textFill>
        </w:rPr>
        <w:t>：能够基于人工智能领域的科学原理并采用科学方法对复杂工程问题进行研究，包括设计实验、分析与解释数据、并通过信息综合得到合理有效的结论。</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4.1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具有计算机软硬件及系统相关的工程实验验证与实现能力，能够依据实验数据进行分析和对比，得出合理的结论；</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4.2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针对人工智能领域的复杂工程问题，具备根据设计方案进行实现与实施的能力，具有全面的工程实践能力和经验；</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4.3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能够根据设计的实验数据进行综合分析与研判，发现科学问题，形成合理的科学解释，得出合理有效的结论。</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微软雅黑"/>
          <w:color w:val="000000" w:themeColor="text1"/>
          <w14:textFill>
            <w14:solidFill>
              <w14:schemeClr w14:val="tx1"/>
            </w14:solidFill>
          </w14:textFill>
        </w:rPr>
        <w:t>5.</w:t>
      </w:r>
      <w:r>
        <w:rPr>
          <w:rFonts w:hint="eastAsia" w:ascii="微软雅黑" w:hAnsi="微软雅黑" w:eastAsia="微软雅黑" w:cs="宋体"/>
          <w:b/>
          <w:bCs/>
          <w:color w:val="000000" w:themeColor="text1"/>
          <w14:textFill>
            <w14:solidFill>
              <w14:schemeClr w14:val="tx1"/>
            </w14:solidFill>
          </w14:textFill>
        </w:rPr>
        <w:t>使用现代工具</w:t>
      </w:r>
      <w:r>
        <w:rPr>
          <w:rFonts w:hint="eastAsia" w:ascii="微软雅黑" w:hAnsi="微软雅黑" w:eastAsia="微软雅黑" w:cs="微软雅黑"/>
          <w:color w:val="000000" w:themeColor="text1"/>
          <w14:textFill>
            <w14:solidFill>
              <w14:schemeClr w14:val="tx1"/>
            </w14:solidFill>
          </w14:textFill>
        </w:rPr>
        <w:t>：能够针对复杂工程问题，开发、选择与使用恰当的软硬件技术、计算资源、现代信息技术工具，包括对复杂工程问题的预测与模拟，并能够理解其局限性。</w:t>
      </w:r>
    </w:p>
    <w:p>
      <w:pPr>
        <w:pBdr>
          <w:top w:val="single" w:color="000000" w:sz="4" w:space="0"/>
          <w:left w:val="single" w:color="000000" w:sz="4" w:space="0"/>
          <w:bottom w:val="single" w:color="000000" w:sz="4" w:space="0"/>
          <w:right w:val="single" w:color="000000" w:sz="4" w:space="0"/>
        </w:pBdr>
        <w:spacing w:after="64"/>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5.1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能熟练的使用学术资源、互联网引擎或者其他信息检索工具，进行文献的收集整理和归纳，了解计算机领域内专业资料的来源和获取方法；</w:t>
      </w:r>
    </w:p>
    <w:p>
      <w:pPr>
        <w:rPr>
          <w:rFonts w:ascii="宋体" w:hAnsi="宋体" w:cs="宋体" w:eastAsiaTheme="minorEastAsia"/>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mc:AlternateContent>
          <mc:Choice Requires="wps">
            <w:drawing>
              <wp:inline distT="0" distB="0" distL="0" distR="0">
                <wp:extent cx="5964555" cy="1404620"/>
                <wp:effectExtent l="0" t="0" r="17145" b="14605"/>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964865" cy="1404620"/>
                        </a:xfrm>
                        <a:prstGeom prst="rect">
                          <a:avLst/>
                        </a:prstGeom>
                        <a:solidFill>
                          <a:srgbClr val="FFFFFF"/>
                        </a:solidFill>
                        <a:ln w="9525">
                          <a:solidFill>
                            <a:srgbClr val="000000"/>
                          </a:solidFill>
                          <a:miter lim="800000"/>
                        </a:ln>
                      </wps:spPr>
                      <wps:txbx>
                        <w:txbxContent>
                          <w:p>
                            <w:pPr>
                              <w:ind w:firstLine="72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5.2 (</w:t>
                            </w:r>
                            <w:r>
                              <w:rPr>
                                <w:rFonts w:hint="eastAsia" w:ascii="微软雅黑" w:hAnsi="微软雅黑" w:eastAsia="微软雅黑" w:cs="宋体"/>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0.3)</w:t>
                            </w:r>
                            <w:r>
                              <w:rPr>
                                <w:rFonts w:hint="eastAsia" w:ascii="微软雅黑" w:hAnsi="微软雅黑" w:eastAsia="微软雅黑" w:cs="宋体"/>
                                <w:color w:val="000000" w:themeColor="text1"/>
                                <w14:textFill>
                                  <w14:solidFill>
                                    <w14:schemeClr w14:val="tx1"/>
                                  </w14:solidFill>
                                </w14:textFill>
                              </w:rPr>
                              <w:t>能对计算机领域的复杂工程问题的建模、预测或者模拟求解过程中，使用合适的技术工具，软硬件系统资源、现代工程工具，提高解决复杂工程问题的能力和效率；</w:t>
                            </w:r>
                          </w:p>
                          <w:p>
                            <w:pPr>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5.3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能够对分析和掌握所使用的技术、资源和工具的优势和不足，能够理解技术手段的局限性。</w:t>
                            </w:r>
                          </w:p>
                          <w:p>
                            <w:pPr>
                              <w:ind w:firstLine="720"/>
                              <w:rPr>
                                <w:rFonts w:ascii="宋体" w:hAnsi="宋体" w:cs="宋体"/>
                                <w:color w:val="000000" w:themeColor="text1"/>
                                <w14:textFill>
                                  <w14:solidFill>
                                    <w14:schemeClr w14:val="tx1"/>
                                  </w14:solidFill>
                                </w14:textFill>
                              </w:rPr>
                            </w:pPr>
                          </w:p>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hint="eastAsia" w:ascii="微软雅黑" w:hAnsi="微软雅黑" w:eastAsia="微软雅黑" w:cs="宋体"/>
                                <w:b/>
                                <w:bCs/>
                                <w:color w:val="000000" w:themeColor="text1"/>
                                <w14:textFill>
                                  <w14:solidFill>
                                    <w14:schemeClr w14:val="tx1"/>
                                  </w14:solidFill>
                                </w14:textFill>
                              </w:rPr>
                              <w:t>6</w:t>
                            </w:r>
                            <w:r>
                              <w:rPr>
                                <w:rFonts w:ascii="微软雅黑" w:hAnsi="微软雅黑" w:eastAsia="微软雅黑" w:cs="宋体"/>
                                <w:b/>
                                <w:bCs/>
                                <w:color w:val="000000" w:themeColor="text1"/>
                                <w14:textFill>
                                  <w14:solidFill>
                                    <w14:schemeClr w14:val="tx1"/>
                                  </w14:solidFill>
                                </w14:textFill>
                              </w:rPr>
                              <w:t>.</w:t>
                            </w:r>
                            <w:r>
                              <w:rPr>
                                <w:rFonts w:hint="eastAsia" w:ascii="宋体" w:hAnsi="宋体" w:eastAsia="微软雅黑" w:cs="宋体"/>
                                <w:b/>
                                <w:bCs/>
                                <w:color w:val="000000" w:themeColor="text1"/>
                                <w14:textFill>
                                  <w14:solidFill>
                                    <w14:schemeClr w14:val="tx1"/>
                                  </w14:solidFill>
                                </w14:textFill>
                              </w:rPr>
                              <w:t>工程与社会：</w:t>
                            </w:r>
                            <w:r>
                              <w:rPr>
                                <w:rFonts w:hint="eastAsia" w:ascii="微软雅黑" w:hAnsi="微软雅黑" w:eastAsia="微软雅黑" w:cs="微软雅黑"/>
                                <w:color w:val="000000" w:themeColor="text1"/>
                                <w14:textFill>
                                  <w14:solidFill>
                                    <w14:schemeClr w14:val="tx1"/>
                                  </w14:solidFill>
                                </w14:textFill>
                              </w:rPr>
                              <w:t>能够基于人工智能领域内工程背景知识进行合理分析，评价人工智能专业工程实践和复杂工程问题解决方案对社会、健康、安全、法律以及文化的影响，并理解应承担的责任。</w:t>
                            </w:r>
                          </w:p>
                          <w:p>
                            <w:pPr>
                              <w:ind w:firstLine="72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6.1 (</w:t>
                            </w:r>
                            <w:r>
                              <w:rPr>
                                <w:rFonts w:hint="eastAsia" w:ascii="微软雅黑" w:hAnsi="微软雅黑" w:eastAsia="微软雅黑" w:cs="微软雅黑"/>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0.3)</w:t>
                            </w:r>
                            <w:r>
                              <w:rPr>
                                <w:rFonts w:hint="eastAsia" w:ascii="微软雅黑" w:hAnsi="微软雅黑" w:eastAsia="微软雅黑" w:cs="微软雅黑"/>
                                <w:color w:val="000000" w:themeColor="text1"/>
                                <w14:textFill>
                                  <w14:solidFill>
                                    <w14:schemeClr w14:val="tx1"/>
                                  </w14:solidFill>
                                </w14:textFill>
                              </w:rPr>
                              <w:t>基本的社会、身心健康、安全、法律以及文化等方面的的基本知识和基本技能，了解计算机领域专业活动与之的关联性；</w:t>
                            </w:r>
                          </w:p>
                          <w:p>
                            <w:pPr>
                              <w:ind w:firstLine="72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6.2 (</w:t>
                            </w:r>
                            <w:r>
                              <w:rPr>
                                <w:rFonts w:hint="eastAsia" w:ascii="微软雅黑" w:hAnsi="微软雅黑" w:eastAsia="微软雅黑" w:cs="微软雅黑"/>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0.3)</w:t>
                            </w:r>
                            <w:r>
                              <w:rPr>
                                <w:rFonts w:hint="eastAsia" w:ascii="微软雅黑" w:hAnsi="微软雅黑" w:eastAsia="微软雅黑" w:cs="微软雅黑"/>
                                <w:color w:val="000000" w:themeColor="text1"/>
                                <w14:textFill>
                                  <w14:solidFill>
                                    <w14:schemeClr w14:val="tx1"/>
                                  </w14:solidFill>
                                </w14:textFill>
                              </w:rPr>
                              <w:t>专业工程实践和复杂工程问题解决过程中，能够依据计算机领域的工程背景知识进行综合分析，评估工程对社会、健康、安全、法律以及文化的影响；</w:t>
                            </w:r>
                          </w:p>
                          <w:p>
                            <w:pPr>
                              <w:ind w:firstLine="720"/>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6.3 (</w:t>
                            </w:r>
                            <w:r>
                              <w:rPr>
                                <w:rFonts w:hint="eastAsia" w:ascii="微软雅黑" w:hAnsi="微软雅黑" w:eastAsia="微软雅黑" w:cs="微软雅黑"/>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0.4)</w:t>
                            </w:r>
                            <w:r>
                              <w:rPr>
                                <w:rFonts w:hint="eastAsia" w:ascii="微软雅黑" w:hAnsi="微软雅黑" w:eastAsia="微软雅黑" w:cs="微软雅黑"/>
                                <w:color w:val="000000" w:themeColor="text1"/>
                                <w14:textFill>
                                  <w14:solidFill>
                                    <w14:schemeClr w14:val="tx1"/>
                                  </w14:solidFill>
                                </w14:textFill>
                              </w:rPr>
                              <w:t>理解在计算机领域相关工程实践过程中应用承担的社会责任。</w:t>
                            </w:r>
                          </w:p>
                          <w:p>
                            <w:pPr>
                              <w:ind w:firstLine="720"/>
                              <w:rPr>
                                <w:rFonts w:ascii="微软雅黑" w:hAnsi="微软雅黑" w:eastAsia="微软雅黑" w:cs="宋体"/>
                                <w:color w:val="000000" w:themeColor="text1"/>
                                <w14:textFill>
                                  <w14:solidFill>
                                    <w14:schemeClr w14:val="tx1"/>
                                  </w14:solidFill>
                                </w14:textFill>
                              </w:rPr>
                            </w:pPr>
                          </w:p>
                          <w:p>
                            <w:pPr>
                              <w:widowControl w:val="0"/>
                              <w:spacing w:after="0" w:line="240" w:lineRule="auto"/>
                              <w:ind w:firstLine="720"/>
                              <w:jc w:val="both"/>
                              <w:rPr>
                                <w:rFonts w:ascii="微软雅黑" w:hAnsi="微软雅黑" w:eastAsia="微软雅黑" w:cs="宋体"/>
                                <w:b/>
                                <w:bCs/>
                                <w:color w:val="000000" w:themeColor="text1"/>
                                <w14:textFill>
                                  <w14:solidFill>
                                    <w14:schemeClr w14:val="tx1"/>
                                  </w14:solidFill>
                                </w14:textFill>
                              </w:rPr>
                            </w:pPr>
                            <w:r>
                              <w:rPr>
                                <w:rFonts w:hint="eastAsia" w:ascii="微软雅黑" w:hAnsi="微软雅黑" w:eastAsia="微软雅黑" w:cs="宋体"/>
                                <w:b/>
                                <w:bCs/>
                                <w:color w:val="000000" w:themeColor="text1"/>
                                <w14:textFill>
                                  <w14:solidFill>
                                    <w14:schemeClr w14:val="tx1"/>
                                  </w14:solidFill>
                                </w14:textFill>
                              </w:rPr>
                              <w:t>7</w:t>
                            </w:r>
                            <w:r>
                              <w:rPr>
                                <w:rFonts w:ascii="微软雅黑" w:hAnsi="微软雅黑" w:eastAsia="微软雅黑" w:cs="宋体"/>
                                <w:b/>
                                <w:bCs/>
                                <w:color w:val="000000" w:themeColor="text1"/>
                                <w14:textFill>
                                  <w14:solidFill>
                                    <w14:schemeClr w14:val="tx1"/>
                                  </w14:solidFill>
                                </w14:textFill>
                              </w:rPr>
                              <w:t>.</w:t>
                            </w:r>
                            <w:r>
                              <w:rPr>
                                <w:rFonts w:hint="eastAsia" w:ascii="微软雅黑" w:hAnsi="微软雅黑" w:eastAsia="微软雅黑" w:cs="宋体"/>
                                <w:b/>
                                <w:bCs/>
                                <w:color w:val="000000" w:themeColor="text1"/>
                                <w14:textFill>
                                  <w14:solidFill>
                                    <w14:schemeClr w14:val="tx1"/>
                                  </w14:solidFill>
                                </w14:textFill>
                              </w:rPr>
                              <w:t>环境和可持续发展：</w:t>
                            </w:r>
                            <w:r>
                              <w:rPr>
                                <w:rFonts w:hint="eastAsia" w:ascii="微软雅黑" w:hAnsi="微软雅黑" w:eastAsia="微软雅黑" w:cs="宋体"/>
                                <w:color w:val="000000" w:themeColor="text1"/>
                                <w14:textFill>
                                  <w14:solidFill>
                                    <w14:schemeClr w14:val="tx1"/>
                                  </w14:solidFill>
                                </w14:textFill>
                              </w:rPr>
                              <w:t>能够理解和评价针对人工智能领域的复杂工程问题工程实践对环境、社会可持续发展的影响。</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7.1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了解信息产业领域的国家政策、方针与法律法规，理解环境和社会可持续发展的内涵以及个人的责任；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7.2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了解信息化和环境保护之间的关系，能够理解和评价计算机专业工程实践对环境和社会可持续发展的影响；</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7.3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正确认识信息化工程实践对社会与环境的影响，利用技术手段降低其负面影响的作用。</w:t>
                            </w:r>
                          </w:p>
                          <w:p>
                            <w:pPr>
                              <w:ind w:firstLine="720"/>
                              <w:rPr>
                                <w:rFonts w:ascii="宋体" w:hAnsi="宋体" w:cs="宋体" w:eastAsiaTheme="minorEastAsia"/>
                                <w:color w:val="000000" w:themeColor="text1"/>
                                <w14:textFill>
                                  <w14:solidFill>
                                    <w14:schemeClr w14:val="tx1"/>
                                  </w14:solidFill>
                                </w14:textFill>
                              </w:rPr>
                            </w:pPr>
                          </w:p>
                          <w:p>
                            <w:pPr>
                              <w:widowControl w:val="0"/>
                              <w:spacing w:after="0" w:line="240" w:lineRule="auto"/>
                              <w:ind w:firstLine="720"/>
                              <w:jc w:val="both"/>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b/>
                                <w:bCs/>
                                <w:color w:val="000000" w:themeColor="text1"/>
                                <w14:textFill>
                                  <w14:solidFill>
                                    <w14:schemeClr w14:val="tx1"/>
                                  </w14:solidFill>
                                </w14:textFill>
                              </w:rPr>
                              <w:t>8</w:t>
                            </w:r>
                            <w:r>
                              <w:rPr>
                                <w:rFonts w:ascii="微软雅黑" w:hAnsi="微软雅黑" w:eastAsia="微软雅黑" w:cs="宋体"/>
                                <w:b/>
                                <w:bCs/>
                                <w:color w:val="000000" w:themeColor="text1"/>
                                <w14:textFill>
                                  <w14:solidFill>
                                    <w14:schemeClr w14:val="tx1"/>
                                  </w14:solidFill>
                                </w14:textFill>
                              </w:rPr>
                              <w:t>.</w:t>
                            </w:r>
                            <w:r>
                              <w:rPr>
                                <w:rFonts w:hint="eastAsia" w:ascii="微软雅黑" w:hAnsi="微软雅黑" w:eastAsia="微软雅黑" w:cs="宋体"/>
                                <w:b/>
                                <w:bCs/>
                                <w:color w:val="000000" w:themeColor="text1"/>
                                <w14:textFill>
                                  <w14:solidFill>
                                    <w14:schemeClr w14:val="tx1"/>
                                  </w14:solidFill>
                                </w14:textFill>
                              </w:rPr>
                              <w:t>职业规范</w:t>
                            </w:r>
                            <w:r>
                              <w:rPr>
                                <w:rFonts w:hint="eastAsia" w:ascii="微软雅黑" w:hAnsi="微软雅黑" w:eastAsia="微软雅黑" w:cs="微软雅黑"/>
                                <w:color w:val="000000" w:themeColor="text1"/>
                                <w14:textFill>
                                  <w14:solidFill>
                                    <w14:schemeClr w14:val="tx1"/>
                                  </w14:solidFill>
                                </w14:textFill>
                              </w:rPr>
                              <w:t>：具有人文社会科学素养、社会责任感，能够在工程实践中理解并遵守工程职业道德和规范，履行责任。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8.1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掌握系统的人文社会科学知识，具有良好的人文科学素养；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8.2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具有较好的计算机领域的职业道德，并能够遵守职业道德准则；</w:t>
                            </w:r>
                          </w:p>
                          <w:p>
                            <w:pPr>
                              <w:pStyle w:val="19"/>
                              <w:numPr>
                                <w:ilvl w:val="1"/>
                                <w:numId w:val="2"/>
                              </w:numPr>
                              <w:ind w:firstLineChars="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具有良好社会责任感，能够履行并承担相关的责任。</w:t>
                            </w:r>
                          </w:p>
                          <w:p>
                            <w:pPr>
                              <w:ind w:firstLine="720"/>
                              <w:rPr>
                                <w:rFonts w:ascii="宋体" w:hAnsi="宋体" w:cs="宋体" w:eastAsiaTheme="minorEastAsia"/>
                                <w:color w:val="000000" w:themeColor="text1"/>
                                <w14:textFill>
                                  <w14:solidFill>
                                    <w14:schemeClr w14:val="tx1"/>
                                  </w14:solidFill>
                                </w14:textFill>
                              </w:rPr>
                            </w:pPr>
                          </w:p>
                        </w:txbxContent>
                      </wps:txbx>
                      <wps:bodyPr rot="0" vert="horz" wrap="square" lIns="91440" tIns="45720" rIns="91440" bIns="45720" anchor="t" anchorCtr="0">
                        <a:spAutoFit/>
                      </wps:bodyPr>
                    </wps:wsp>
                  </a:graphicData>
                </a:graphic>
              </wp:inline>
            </w:drawing>
          </mc:Choice>
          <mc:Fallback>
            <w:pict>
              <v:shape id="文本框 2" o:spid="_x0000_s1026" o:spt="202" type="#_x0000_t202" style="height:110.6pt;width:469.65pt;" fillcolor="#FFFFFF" filled="t" stroked="t" coordsize="21600,21600" o:gfxdata="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GR0vVAAAA&#10;BQEAAA8AAAAAAAAAAQAgAAAAIgAAAGRycy9kb3ducmV2LnhtbFBLAQIUABQAAAAIAIdO4kD7XCU1&#10;IAIAADAEAAAOAAAAAAAAAAEAIAAAACQBAABkcnMvZTJvRG9jLnhtbFBLBQYAAAAABgAGAFkBAAC2&#10;BQAAAAA=&#10;">
                <v:fill on="t" focussize="0,0"/>
                <v:stroke color="#000000" miterlimit="8" joinstyle="miter"/>
                <v:imagedata o:title=""/>
                <o:lock v:ext="edit" aspectratio="f"/>
                <v:textbox style="mso-fit-shape-to-text:t;">
                  <w:txbxContent>
                    <w:p>
                      <w:pPr>
                        <w:ind w:firstLine="72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5.2 (</w:t>
                      </w:r>
                      <w:r>
                        <w:rPr>
                          <w:rFonts w:hint="eastAsia" w:ascii="微软雅黑" w:hAnsi="微软雅黑" w:eastAsia="微软雅黑" w:cs="宋体"/>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0.3)</w:t>
                      </w:r>
                      <w:r>
                        <w:rPr>
                          <w:rFonts w:hint="eastAsia" w:ascii="微软雅黑" w:hAnsi="微软雅黑" w:eastAsia="微软雅黑" w:cs="宋体"/>
                          <w:color w:val="000000" w:themeColor="text1"/>
                          <w14:textFill>
                            <w14:solidFill>
                              <w14:schemeClr w14:val="tx1"/>
                            </w14:solidFill>
                          </w14:textFill>
                        </w:rPr>
                        <w:t>能对计算机领域的复杂工程问题的建模、预测或者模拟求解过程中，使用合适的技术工具，软硬件系统资源、现代工程工具，提高解决复杂工程问题的能力和效率；</w:t>
                      </w:r>
                    </w:p>
                    <w:p>
                      <w:pPr>
                        <w:ind w:firstLine="720"/>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5.3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权重</w:t>
                      </w:r>
                      <w:r>
                        <w:rPr>
                          <w:rFonts w:hint="eastAsia" w:ascii="微软雅黑" w:hAnsi="微软雅黑" w:eastAsia="微软雅黑" w:cs="宋体"/>
                          <w:color w:val="000000" w:themeColor="text1"/>
                          <w14:textFill>
                            <w14:solidFill>
                              <w14:schemeClr w14:val="tx1"/>
                            </w14:solidFill>
                          </w14:textFill>
                        </w:rPr>
                        <w:t>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能够对分析和掌握所使用的技术、资源和工具的优势和不足，能够理解技术手段的局限性。</w:t>
                      </w:r>
                    </w:p>
                    <w:p>
                      <w:pPr>
                        <w:ind w:firstLine="720"/>
                        <w:rPr>
                          <w:rFonts w:ascii="宋体" w:hAnsi="宋体" w:cs="宋体"/>
                          <w:color w:val="000000" w:themeColor="text1"/>
                          <w14:textFill>
                            <w14:solidFill>
                              <w14:schemeClr w14:val="tx1"/>
                            </w14:solidFill>
                          </w14:textFill>
                        </w:rPr>
                      </w:pPr>
                    </w:p>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hint="eastAsia" w:ascii="微软雅黑" w:hAnsi="微软雅黑" w:eastAsia="微软雅黑" w:cs="宋体"/>
                          <w:b/>
                          <w:bCs/>
                          <w:color w:val="000000" w:themeColor="text1"/>
                          <w14:textFill>
                            <w14:solidFill>
                              <w14:schemeClr w14:val="tx1"/>
                            </w14:solidFill>
                          </w14:textFill>
                        </w:rPr>
                        <w:t>6</w:t>
                      </w:r>
                      <w:r>
                        <w:rPr>
                          <w:rFonts w:ascii="微软雅黑" w:hAnsi="微软雅黑" w:eastAsia="微软雅黑" w:cs="宋体"/>
                          <w:b/>
                          <w:bCs/>
                          <w:color w:val="000000" w:themeColor="text1"/>
                          <w14:textFill>
                            <w14:solidFill>
                              <w14:schemeClr w14:val="tx1"/>
                            </w14:solidFill>
                          </w14:textFill>
                        </w:rPr>
                        <w:t>.</w:t>
                      </w:r>
                      <w:r>
                        <w:rPr>
                          <w:rFonts w:hint="eastAsia" w:ascii="宋体" w:hAnsi="宋体" w:eastAsia="微软雅黑" w:cs="宋体"/>
                          <w:b/>
                          <w:bCs/>
                          <w:color w:val="000000" w:themeColor="text1"/>
                          <w14:textFill>
                            <w14:solidFill>
                              <w14:schemeClr w14:val="tx1"/>
                            </w14:solidFill>
                          </w14:textFill>
                        </w:rPr>
                        <w:t>工程与社会：</w:t>
                      </w:r>
                      <w:r>
                        <w:rPr>
                          <w:rFonts w:hint="eastAsia" w:ascii="微软雅黑" w:hAnsi="微软雅黑" w:eastAsia="微软雅黑" w:cs="微软雅黑"/>
                          <w:color w:val="000000" w:themeColor="text1"/>
                          <w14:textFill>
                            <w14:solidFill>
                              <w14:schemeClr w14:val="tx1"/>
                            </w14:solidFill>
                          </w14:textFill>
                        </w:rPr>
                        <w:t>能够基于人工智能领域内工程背景知识进行合理分析，评价人工智能专业工程实践和复杂工程问题解决方案对社会、健康、安全、法律以及文化的影响，并理解应承担的责任。</w:t>
                      </w:r>
                    </w:p>
                    <w:p>
                      <w:pPr>
                        <w:ind w:firstLine="72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6.1 (</w:t>
                      </w:r>
                      <w:r>
                        <w:rPr>
                          <w:rFonts w:hint="eastAsia" w:ascii="微软雅黑" w:hAnsi="微软雅黑" w:eastAsia="微软雅黑" w:cs="微软雅黑"/>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0.3)</w:t>
                      </w:r>
                      <w:r>
                        <w:rPr>
                          <w:rFonts w:hint="eastAsia" w:ascii="微软雅黑" w:hAnsi="微软雅黑" w:eastAsia="微软雅黑" w:cs="微软雅黑"/>
                          <w:color w:val="000000" w:themeColor="text1"/>
                          <w14:textFill>
                            <w14:solidFill>
                              <w14:schemeClr w14:val="tx1"/>
                            </w14:solidFill>
                          </w14:textFill>
                        </w:rPr>
                        <w:t>基本的社会、身心健康、安全、法律以及文化等方面的的基本知识和基本技能，了解计算机领域专业活动与之的关联性；</w:t>
                      </w:r>
                    </w:p>
                    <w:p>
                      <w:pPr>
                        <w:ind w:firstLine="72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6.2 (</w:t>
                      </w:r>
                      <w:r>
                        <w:rPr>
                          <w:rFonts w:hint="eastAsia" w:ascii="微软雅黑" w:hAnsi="微软雅黑" w:eastAsia="微软雅黑" w:cs="微软雅黑"/>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0.3)</w:t>
                      </w:r>
                      <w:r>
                        <w:rPr>
                          <w:rFonts w:hint="eastAsia" w:ascii="微软雅黑" w:hAnsi="微软雅黑" w:eastAsia="微软雅黑" w:cs="微软雅黑"/>
                          <w:color w:val="000000" w:themeColor="text1"/>
                          <w14:textFill>
                            <w14:solidFill>
                              <w14:schemeClr w14:val="tx1"/>
                            </w14:solidFill>
                          </w14:textFill>
                        </w:rPr>
                        <w:t>专业工程实践和复杂工程问题解决过程中，能够依据计算机领域的工程背景知识进行综合分析，评估工程对社会、健康、安全、法律以及文化的影响；</w:t>
                      </w:r>
                    </w:p>
                    <w:p>
                      <w:pPr>
                        <w:ind w:firstLine="720"/>
                        <w:rPr>
                          <w:rFonts w:ascii="微软雅黑" w:hAnsi="微软雅黑" w:eastAsia="微软雅黑" w:cs="微软雅黑"/>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6.3 (</w:t>
                      </w:r>
                      <w:r>
                        <w:rPr>
                          <w:rFonts w:hint="eastAsia" w:ascii="微软雅黑" w:hAnsi="微软雅黑" w:eastAsia="微软雅黑" w:cs="微软雅黑"/>
                          <w:color w:val="000000" w:themeColor="text1"/>
                          <w14:textFill>
                            <w14:solidFill>
                              <w14:schemeClr w14:val="tx1"/>
                            </w14:solidFill>
                          </w14:textFill>
                        </w:rPr>
                        <w:t>权重</w:t>
                      </w:r>
                      <w:r>
                        <w:rPr>
                          <w:rFonts w:ascii="微软雅黑" w:hAnsi="微软雅黑" w:eastAsia="微软雅黑" w:cs="宋体"/>
                          <w:color w:val="000000" w:themeColor="text1"/>
                          <w14:textFill>
                            <w14:solidFill>
                              <w14:schemeClr w14:val="tx1"/>
                            </w14:solidFill>
                          </w14:textFill>
                        </w:rPr>
                        <w:t>0.4)</w:t>
                      </w:r>
                      <w:r>
                        <w:rPr>
                          <w:rFonts w:hint="eastAsia" w:ascii="微软雅黑" w:hAnsi="微软雅黑" w:eastAsia="微软雅黑" w:cs="微软雅黑"/>
                          <w:color w:val="000000" w:themeColor="text1"/>
                          <w14:textFill>
                            <w14:solidFill>
                              <w14:schemeClr w14:val="tx1"/>
                            </w14:solidFill>
                          </w14:textFill>
                        </w:rPr>
                        <w:t>理解在计算机领域相关工程实践过程中应用承担的社会责任。</w:t>
                      </w:r>
                    </w:p>
                    <w:p>
                      <w:pPr>
                        <w:ind w:firstLine="720"/>
                        <w:rPr>
                          <w:rFonts w:ascii="微软雅黑" w:hAnsi="微软雅黑" w:eastAsia="微软雅黑" w:cs="宋体"/>
                          <w:color w:val="000000" w:themeColor="text1"/>
                          <w14:textFill>
                            <w14:solidFill>
                              <w14:schemeClr w14:val="tx1"/>
                            </w14:solidFill>
                          </w14:textFill>
                        </w:rPr>
                      </w:pPr>
                    </w:p>
                    <w:p>
                      <w:pPr>
                        <w:widowControl w:val="0"/>
                        <w:spacing w:after="0" w:line="240" w:lineRule="auto"/>
                        <w:ind w:firstLine="720"/>
                        <w:jc w:val="both"/>
                        <w:rPr>
                          <w:rFonts w:ascii="微软雅黑" w:hAnsi="微软雅黑" w:eastAsia="微软雅黑" w:cs="宋体"/>
                          <w:b/>
                          <w:bCs/>
                          <w:color w:val="000000" w:themeColor="text1"/>
                          <w14:textFill>
                            <w14:solidFill>
                              <w14:schemeClr w14:val="tx1"/>
                            </w14:solidFill>
                          </w14:textFill>
                        </w:rPr>
                      </w:pPr>
                      <w:r>
                        <w:rPr>
                          <w:rFonts w:hint="eastAsia" w:ascii="微软雅黑" w:hAnsi="微软雅黑" w:eastAsia="微软雅黑" w:cs="宋体"/>
                          <w:b/>
                          <w:bCs/>
                          <w:color w:val="000000" w:themeColor="text1"/>
                          <w14:textFill>
                            <w14:solidFill>
                              <w14:schemeClr w14:val="tx1"/>
                            </w14:solidFill>
                          </w14:textFill>
                        </w:rPr>
                        <w:t>7</w:t>
                      </w:r>
                      <w:r>
                        <w:rPr>
                          <w:rFonts w:ascii="微软雅黑" w:hAnsi="微软雅黑" w:eastAsia="微软雅黑" w:cs="宋体"/>
                          <w:b/>
                          <w:bCs/>
                          <w:color w:val="000000" w:themeColor="text1"/>
                          <w14:textFill>
                            <w14:solidFill>
                              <w14:schemeClr w14:val="tx1"/>
                            </w14:solidFill>
                          </w14:textFill>
                        </w:rPr>
                        <w:t>.</w:t>
                      </w:r>
                      <w:r>
                        <w:rPr>
                          <w:rFonts w:hint="eastAsia" w:ascii="微软雅黑" w:hAnsi="微软雅黑" w:eastAsia="微软雅黑" w:cs="宋体"/>
                          <w:b/>
                          <w:bCs/>
                          <w:color w:val="000000" w:themeColor="text1"/>
                          <w14:textFill>
                            <w14:solidFill>
                              <w14:schemeClr w14:val="tx1"/>
                            </w14:solidFill>
                          </w14:textFill>
                        </w:rPr>
                        <w:t>环境和可持续发展：</w:t>
                      </w:r>
                      <w:r>
                        <w:rPr>
                          <w:rFonts w:hint="eastAsia" w:ascii="微软雅黑" w:hAnsi="微软雅黑" w:eastAsia="微软雅黑" w:cs="宋体"/>
                          <w:color w:val="000000" w:themeColor="text1"/>
                          <w14:textFill>
                            <w14:solidFill>
                              <w14:schemeClr w14:val="tx1"/>
                            </w14:solidFill>
                          </w14:textFill>
                        </w:rPr>
                        <w:t>能够理解和评价针对人工智能领域的复杂工程问题工程实践对环境、社会可持续发展的影响。</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7.1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了解信息产业领域的国家政策、方针与法律法规，理解环境和社会可持续发展的内涵以及个人的责任；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7.2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了解信息化和环境保护之间的关系，能够理解和评价计算机专业工程实践对环境和社会可持续发展的影响；</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7.3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正确认识信息化工程实践对社会与环境的影响，利用技术手段降低其负面影响的作用。</w:t>
                      </w:r>
                    </w:p>
                    <w:p>
                      <w:pPr>
                        <w:ind w:firstLine="720"/>
                        <w:rPr>
                          <w:rFonts w:ascii="宋体" w:hAnsi="宋体" w:cs="宋体" w:eastAsiaTheme="minorEastAsia"/>
                          <w:color w:val="000000" w:themeColor="text1"/>
                          <w14:textFill>
                            <w14:solidFill>
                              <w14:schemeClr w14:val="tx1"/>
                            </w14:solidFill>
                          </w14:textFill>
                        </w:rPr>
                      </w:pPr>
                    </w:p>
                    <w:p>
                      <w:pPr>
                        <w:widowControl w:val="0"/>
                        <w:spacing w:after="0" w:line="240" w:lineRule="auto"/>
                        <w:ind w:firstLine="720"/>
                        <w:jc w:val="both"/>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b/>
                          <w:bCs/>
                          <w:color w:val="000000" w:themeColor="text1"/>
                          <w14:textFill>
                            <w14:solidFill>
                              <w14:schemeClr w14:val="tx1"/>
                            </w14:solidFill>
                          </w14:textFill>
                        </w:rPr>
                        <w:t>8</w:t>
                      </w:r>
                      <w:r>
                        <w:rPr>
                          <w:rFonts w:ascii="微软雅黑" w:hAnsi="微软雅黑" w:eastAsia="微软雅黑" w:cs="宋体"/>
                          <w:b/>
                          <w:bCs/>
                          <w:color w:val="000000" w:themeColor="text1"/>
                          <w14:textFill>
                            <w14:solidFill>
                              <w14:schemeClr w14:val="tx1"/>
                            </w14:solidFill>
                          </w14:textFill>
                        </w:rPr>
                        <w:t>.</w:t>
                      </w:r>
                      <w:r>
                        <w:rPr>
                          <w:rFonts w:hint="eastAsia" w:ascii="微软雅黑" w:hAnsi="微软雅黑" w:eastAsia="微软雅黑" w:cs="宋体"/>
                          <w:b/>
                          <w:bCs/>
                          <w:color w:val="000000" w:themeColor="text1"/>
                          <w14:textFill>
                            <w14:solidFill>
                              <w14:schemeClr w14:val="tx1"/>
                            </w14:solidFill>
                          </w14:textFill>
                        </w:rPr>
                        <w:t>职业规范</w:t>
                      </w:r>
                      <w:r>
                        <w:rPr>
                          <w:rFonts w:hint="eastAsia" w:ascii="微软雅黑" w:hAnsi="微软雅黑" w:eastAsia="微软雅黑" w:cs="微软雅黑"/>
                          <w:color w:val="000000" w:themeColor="text1"/>
                          <w14:textFill>
                            <w14:solidFill>
                              <w14:schemeClr w14:val="tx1"/>
                            </w14:solidFill>
                          </w14:textFill>
                        </w:rPr>
                        <w:t>：具有人文社会科学素养、社会责任感，能够在工程实践中理解并遵守工程职业道德和规范，履行责任。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8.1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掌握系统的人文社会科学知识，具有良好的人文科学素养；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8.2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具有较好的计算机领域的职业道德，并能够遵守职业道德准则；</w:t>
                      </w:r>
                    </w:p>
                    <w:p>
                      <w:pPr>
                        <w:pStyle w:val="19"/>
                        <w:numPr>
                          <w:ilvl w:val="1"/>
                          <w:numId w:val="2"/>
                        </w:numPr>
                        <w:ind w:firstLineChars="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具有良好社会责任感，能够履行并承担相关的责任。</w:t>
                      </w:r>
                    </w:p>
                    <w:p>
                      <w:pPr>
                        <w:ind w:firstLine="720"/>
                        <w:rPr>
                          <w:rFonts w:ascii="宋体" w:hAnsi="宋体" w:cs="宋体" w:eastAsiaTheme="minorEastAsia"/>
                          <w:color w:val="000000" w:themeColor="text1"/>
                          <w14:textFill>
                            <w14:solidFill>
                              <w14:schemeClr w14:val="tx1"/>
                            </w14:solidFill>
                          </w14:textFill>
                        </w:rPr>
                      </w:pPr>
                    </w:p>
                  </w:txbxContent>
                </v:textbox>
                <w10:wrap type="none"/>
                <w10:anchorlock/>
              </v:shape>
            </w:pict>
          </mc:Fallback>
        </mc:AlternateContent>
      </w:r>
      <w:r>
        <w:rPr>
          <w:rFonts w:hint="eastAsia" w:ascii="宋体" w:hAnsi="宋体" w:cs="宋体" w:eastAsiaTheme="minorEastAsia"/>
          <w:color w:val="000000" w:themeColor="text1"/>
          <w14:textFill>
            <w14:solidFill>
              <w14:schemeClr w14:val="tx1"/>
            </w14:solidFill>
          </w14:textFill>
        </w:rPr>
        <w:t xml:space="preserve"> </w:t>
      </w:r>
    </w:p>
    <w:p>
      <w:pPr>
        <w:rPr>
          <w:rFonts w:ascii="微软雅黑" w:hAnsi="微软雅黑" w:eastAsia="微软雅黑" w:cs="微软雅黑"/>
          <w:sz w:val="36"/>
        </w:rPr>
      </w:pPr>
      <w:r>
        <w:rPr>
          <w:rFonts w:ascii="微软雅黑" w:hAnsi="微软雅黑" w:eastAsia="微软雅黑" w:cs="微软雅黑"/>
          <w:sz w:val="36"/>
        </w:rPr>
        <mc:AlternateContent>
          <mc:Choice Requires="wps">
            <w:drawing>
              <wp:inline distT="0" distB="0" distL="0" distR="0">
                <wp:extent cx="6049645" cy="1404620"/>
                <wp:effectExtent l="0" t="0" r="27305" b="16510"/>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49925" cy="1404620"/>
                        </a:xfrm>
                        <a:prstGeom prst="rect">
                          <a:avLst/>
                        </a:prstGeom>
                        <a:solidFill>
                          <a:srgbClr val="FFFFFF"/>
                        </a:solidFill>
                        <a:ln w="9525">
                          <a:solidFill>
                            <a:srgbClr val="000000"/>
                          </a:solidFill>
                          <a:miter lim="800000"/>
                        </a:ln>
                      </wps:spPr>
                      <wps:txbx>
                        <w:txbxContent>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ascii="宋体" w:hAnsi="宋体" w:eastAsia="微软雅黑" w:cs="宋体"/>
                                <w:b/>
                                <w:bCs/>
                                <w:color w:val="000000" w:themeColor="text1"/>
                                <w14:textFill>
                                  <w14:solidFill>
                                    <w14:schemeClr w14:val="tx1"/>
                                  </w14:solidFill>
                                </w14:textFill>
                              </w:rPr>
                              <w:t>9.</w:t>
                            </w:r>
                            <w:r>
                              <w:rPr>
                                <w:rFonts w:hint="eastAsia" w:ascii="宋体" w:hAnsi="宋体" w:eastAsia="微软雅黑" w:cs="宋体"/>
                                <w:b/>
                                <w:bCs/>
                                <w:color w:val="000000" w:themeColor="text1"/>
                                <w14:textFill>
                                  <w14:solidFill>
                                    <w14:schemeClr w14:val="tx1"/>
                                  </w14:solidFill>
                                </w14:textFill>
                              </w:rPr>
                              <w:t>个人和团队</w:t>
                            </w:r>
                            <w:r>
                              <w:rPr>
                                <w:rFonts w:hint="eastAsia" w:ascii="微软雅黑" w:hAnsi="微软雅黑" w:eastAsia="微软雅黑" w:cs="微软雅黑"/>
                                <w:color w:val="000000" w:themeColor="text1"/>
                                <w14:textFill>
                                  <w14:solidFill>
                                    <w14:schemeClr w14:val="tx1"/>
                                  </w14:solidFill>
                                </w14:textFill>
                              </w:rPr>
                              <w:t>：能够在多学科背景下的团队中承担个体、团队成员以及负责人的角色。</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(权重0.2</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能够正确的认识自我，理解团队合作的重要性；</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(权重0.2</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能够理解团队中角色的定义及其在团队中的作用；</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具备完成团队中所承担任务的各种能力；</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9.4</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具备在多学科背景下的基础知识，在团队中的协作能力和沟通能力，进行有效的组织和协调。</w:t>
                            </w:r>
                          </w:p>
                          <w:p>
                            <w:pPr>
                              <w:ind w:firstLine="720"/>
                              <w:rPr>
                                <w:rFonts w:ascii="微软雅黑" w:hAnsi="微软雅黑" w:eastAsia="微软雅黑" w:cs="宋体"/>
                                <w:color w:val="000000" w:themeColor="text1"/>
                                <w14:textFill>
                                  <w14:solidFill>
                                    <w14:schemeClr w14:val="tx1"/>
                                  </w14:solidFill>
                                </w14:textFill>
                              </w:rPr>
                            </w:pPr>
                          </w:p>
                          <w:p>
                            <w:pPr>
                              <w:widowControl w:val="0"/>
                              <w:spacing w:after="0" w:line="240" w:lineRule="auto"/>
                              <w:ind w:firstLine="720"/>
                              <w:jc w:val="both"/>
                              <w:rPr>
                                <w:rFonts w:ascii="微软雅黑" w:hAnsi="微软雅黑" w:eastAsia="微软雅黑" w:cs="微软雅黑"/>
                                <w:color w:val="000000" w:themeColor="text1"/>
                                <w14:textFill>
                                  <w14:solidFill>
                                    <w14:schemeClr w14:val="tx1"/>
                                  </w14:solidFill>
                                </w14:textFill>
                              </w:rPr>
                            </w:pPr>
                            <w:r>
                              <w:rPr>
                                <w:rFonts w:hint="eastAsia" w:ascii="宋体" w:hAnsi="宋体" w:eastAsia="微软雅黑" w:cs="宋体"/>
                                <w:b/>
                                <w:bCs/>
                                <w:color w:val="000000" w:themeColor="text1"/>
                                <w14:textFill>
                                  <w14:solidFill>
                                    <w14:schemeClr w14:val="tx1"/>
                                  </w14:solidFill>
                                </w14:textFill>
                              </w:rPr>
                              <w:t>1</w:t>
                            </w:r>
                            <w:r>
                              <w:rPr>
                                <w:rFonts w:ascii="宋体" w:hAnsi="宋体" w:eastAsia="微软雅黑" w:cs="宋体"/>
                                <w:b/>
                                <w:bCs/>
                                <w:color w:val="000000" w:themeColor="text1"/>
                                <w14:textFill>
                                  <w14:solidFill>
                                    <w14:schemeClr w14:val="tx1"/>
                                  </w14:solidFill>
                                </w14:textFill>
                              </w:rPr>
                              <w:t>0.</w:t>
                            </w:r>
                            <w:r>
                              <w:rPr>
                                <w:rFonts w:hint="eastAsia" w:ascii="宋体" w:hAnsi="宋体" w:eastAsia="微软雅黑" w:cs="宋体"/>
                                <w:b/>
                                <w:bCs/>
                                <w:color w:val="000000" w:themeColor="text1"/>
                                <w14:textFill>
                                  <w14:solidFill>
                                    <w14:schemeClr w14:val="tx1"/>
                                  </w14:solidFill>
                                </w14:textFill>
                              </w:rPr>
                              <w:t>沟通和交流</w:t>
                            </w:r>
                            <w:r>
                              <w:rPr>
                                <w:rFonts w:hint="eastAsia" w:ascii="微软雅黑" w:hAnsi="微软雅黑" w:eastAsia="微软雅黑" w:cs="微软雅黑"/>
                                <w:color w:val="000000" w:themeColor="text1"/>
                                <w14:textFill>
                                  <w14:solidFill>
                                    <w14:schemeClr w14:val="tx1"/>
                                  </w14:solidFill>
                                </w14:textFill>
                              </w:rPr>
                              <w:t>：能够就复杂工程问题与业界同行及社会公众进行有效沟通和交流，包括撰写报告和设计文稿、陈述发言、清晰表达或回应指令，并具备一定的国际视野，能够在跨文化背景下进行沟通和交流。</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10.1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具备良好的英语听说读写能力，针对计算机领域具有较好的跨文化沟通和交流能力；</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10.2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对计算机学科领域的发展动态前沿有比较清晰的认识，能够形成自己的认识和看法；</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10.3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能够就工程问题进行有效的沟通，熟练使用撰写报告和设计文稿、陈述发言、清晰表达或回应指令等。</w:t>
                            </w:r>
                          </w:p>
                          <w:p>
                            <w:pPr>
                              <w:widowControl w:val="0"/>
                              <w:spacing w:after="0" w:line="240" w:lineRule="auto"/>
                              <w:ind w:firstLine="720"/>
                              <w:jc w:val="both"/>
                              <w:rPr>
                                <w:rFonts w:ascii="宋体" w:hAnsi="宋体" w:cs="宋体" w:eastAsiaTheme="minorEastAsia"/>
                                <w:color w:val="000000" w:themeColor="text1"/>
                                <w14:textFill>
                                  <w14:solidFill>
                                    <w14:schemeClr w14:val="tx1"/>
                                  </w14:solidFill>
                                </w14:textFill>
                              </w:rPr>
                            </w:pPr>
                          </w:p>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1</w:t>
                            </w:r>
                            <w:r>
                              <w:rPr>
                                <w:rFonts w:ascii="微软雅黑" w:hAnsi="微软雅黑" w:eastAsia="微软雅黑" w:cs="微软雅黑"/>
                                <w:b/>
                                <w:bCs/>
                                <w:color w:val="000000" w:themeColor="text1"/>
                                <w14:textFill>
                                  <w14:solidFill>
                                    <w14:schemeClr w14:val="tx1"/>
                                  </w14:solidFill>
                                </w14:textFill>
                              </w:rPr>
                              <w:t>1.</w:t>
                            </w:r>
                            <w:r>
                              <w:rPr>
                                <w:rFonts w:hint="eastAsia" w:ascii="微软雅黑" w:hAnsi="微软雅黑" w:eastAsia="微软雅黑" w:cs="微软雅黑"/>
                                <w:b/>
                                <w:bCs/>
                                <w:color w:val="000000" w:themeColor="text1"/>
                                <w14:textFill>
                                  <w14:solidFill>
                                    <w14:schemeClr w14:val="tx1"/>
                                  </w14:solidFill>
                                </w14:textFill>
                              </w:rPr>
                              <w:t>项目管理</w:t>
                            </w:r>
                            <w:r>
                              <w:rPr>
                                <w:rFonts w:hint="eastAsia" w:ascii="微软雅黑" w:hAnsi="微软雅黑" w:eastAsia="微软雅黑" w:cs="微软雅黑"/>
                                <w:color w:val="000000" w:themeColor="text1"/>
                                <w14:textFill>
                                  <w14:solidFill>
                                    <w14:schemeClr w14:val="tx1"/>
                                  </w14:solidFill>
                                </w14:textFill>
                              </w:rPr>
                              <w:t>：理解并掌握工程管理原理与经济决策方法，并能在多学科环境中应用。</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11.1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掌握工程项目管理的基本原理，资源管理和决策等知识；</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11.2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掌握人工智能领域系统开发的全生命周期的管理基本方法和技术；</w:t>
                            </w:r>
                          </w:p>
                          <w:p>
                            <w:pPr>
                              <w:pStyle w:val="19"/>
                              <w:numPr>
                                <w:ilvl w:val="1"/>
                                <w:numId w:val="3"/>
                              </w:numPr>
                              <w:ind w:firstLineChars="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能够在多学科环境中具备项目的管理能力和经验。</w:t>
                            </w:r>
                          </w:p>
                          <w:p>
                            <w:pPr>
                              <w:widowControl w:val="0"/>
                              <w:spacing w:after="0" w:line="240" w:lineRule="auto"/>
                              <w:ind w:firstLine="720"/>
                              <w:jc w:val="both"/>
                              <w:rPr>
                                <w:rFonts w:ascii="宋体" w:hAnsi="宋体" w:cs="宋体" w:eastAsiaTheme="minorEastAsia"/>
                                <w:color w:val="000000" w:themeColor="text1"/>
                                <w14:textFill>
                                  <w14:solidFill>
                                    <w14:schemeClr w14:val="tx1"/>
                                  </w14:solidFill>
                                </w14:textFill>
                              </w:rPr>
                            </w:pPr>
                          </w:p>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hint="eastAsia" w:ascii="宋体" w:hAnsi="宋体" w:eastAsia="微软雅黑" w:cs="宋体"/>
                                <w:b/>
                                <w:bCs/>
                                <w:color w:val="000000" w:themeColor="text1"/>
                                <w14:textFill>
                                  <w14:solidFill>
                                    <w14:schemeClr w14:val="tx1"/>
                                  </w14:solidFill>
                                </w14:textFill>
                              </w:rPr>
                              <w:t>1</w:t>
                            </w:r>
                            <w:r>
                              <w:rPr>
                                <w:rFonts w:ascii="宋体" w:hAnsi="宋体" w:eastAsia="微软雅黑" w:cs="宋体"/>
                                <w:b/>
                                <w:bCs/>
                                <w:color w:val="000000" w:themeColor="text1"/>
                                <w14:textFill>
                                  <w14:solidFill>
                                    <w14:schemeClr w14:val="tx1"/>
                                  </w14:solidFill>
                                </w14:textFill>
                              </w:rPr>
                              <w:t>2.</w:t>
                            </w:r>
                            <w:r>
                              <w:rPr>
                                <w:rFonts w:hint="eastAsia" w:ascii="宋体" w:hAnsi="宋体" w:eastAsia="微软雅黑" w:cs="宋体"/>
                                <w:b/>
                                <w:bCs/>
                                <w:color w:val="000000" w:themeColor="text1"/>
                                <w14:textFill>
                                  <w14:solidFill>
                                    <w14:schemeClr w14:val="tx1"/>
                                  </w14:solidFill>
                                </w14:textFill>
                              </w:rPr>
                              <w:t>终身学习</w:t>
                            </w:r>
                            <w:r>
                              <w:rPr>
                                <w:rFonts w:hint="eastAsia" w:ascii="微软雅黑" w:hAnsi="微软雅黑" w:eastAsia="微软雅黑" w:cs="微软雅黑"/>
                                <w:color w:val="000000" w:themeColor="text1"/>
                                <w14:textFill>
                                  <w14:solidFill>
                                    <w14:schemeClr w14:val="tx1"/>
                                  </w14:solidFill>
                                </w14:textFill>
                              </w:rPr>
                              <w:t>：具有自主学习和终身学习的意识，有不断学习和适应计算机技术发展的能力。</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12.1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具备终生学习和自主学习的意识，认识到终生学习和自主学习的重要性；</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12.2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能够采用合适的方法，促进自我能力的提高，自我素质和修改的提升；</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12.3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能够主动适应人工智能新技术的发展，采用新的学习手段，不断学习并适应信息产业领域技术的快速发展。</w:t>
                            </w:r>
                          </w:p>
                          <w:p/>
                        </w:txbxContent>
                      </wps:txbx>
                      <wps:bodyPr rot="0" vert="horz" wrap="square" lIns="91440" tIns="45720" rIns="91440" bIns="45720" anchor="t" anchorCtr="0">
                        <a:spAutoFit/>
                      </wps:bodyPr>
                    </wps:wsp>
                  </a:graphicData>
                </a:graphic>
              </wp:inline>
            </w:drawing>
          </mc:Choice>
          <mc:Fallback>
            <w:pict>
              <v:shape id="文本框 2" o:spid="_x0000_s1026" o:spt="202" type="#_x0000_t202" style="height:110.6pt;width:476.35pt;" fillcolor="#FFFFFF" filled="t" stroked="t" coordsize="21600,21600" o:gfxdata="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XWBs/VAAAABQEA&#10;AA8AAAAAAAAAAQAgAAAAIgAAAGRycy9kb3ducmV2LnhtbFBLAQIUABQAAAAIAIdO4kAKZ59ZHQIA&#10;AC4EAAAOAAAAAAAAAAEAIAAAACQBAABkcnMvZTJvRG9jLnhtbFBLBQYAAAAABgAGAFkBAACzBQAA&#10;AAA=&#10;">
                <v:fill on="t" focussize="0,0"/>
                <v:stroke color="#000000" miterlimit="8" joinstyle="miter"/>
                <v:imagedata o:title=""/>
                <o:lock v:ext="edit" aspectratio="f"/>
                <v:textbox style="mso-fit-shape-to-text:t;">
                  <w:txbxContent>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ascii="宋体" w:hAnsi="宋体" w:eastAsia="微软雅黑" w:cs="宋体"/>
                          <w:b/>
                          <w:bCs/>
                          <w:color w:val="000000" w:themeColor="text1"/>
                          <w14:textFill>
                            <w14:solidFill>
                              <w14:schemeClr w14:val="tx1"/>
                            </w14:solidFill>
                          </w14:textFill>
                        </w:rPr>
                        <w:t>9.</w:t>
                      </w:r>
                      <w:r>
                        <w:rPr>
                          <w:rFonts w:hint="eastAsia" w:ascii="宋体" w:hAnsi="宋体" w:eastAsia="微软雅黑" w:cs="宋体"/>
                          <w:b/>
                          <w:bCs/>
                          <w:color w:val="000000" w:themeColor="text1"/>
                          <w14:textFill>
                            <w14:solidFill>
                              <w14:schemeClr w14:val="tx1"/>
                            </w14:solidFill>
                          </w14:textFill>
                        </w:rPr>
                        <w:t>个人和团队</w:t>
                      </w:r>
                      <w:r>
                        <w:rPr>
                          <w:rFonts w:hint="eastAsia" w:ascii="微软雅黑" w:hAnsi="微软雅黑" w:eastAsia="微软雅黑" w:cs="微软雅黑"/>
                          <w:color w:val="000000" w:themeColor="text1"/>
                          <w14:textFill>
                            <w14:solidFill>
                              <w14:schemeClr w14:val="tx1"/>
                            </w14:solidFill>
                          </w14:textFill>
                        </w:rPr>
                        <w:t>：能够在多学科背景下的团队中承担个体、团队成员以及负责人的角色。</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(权重0.2</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能够正确的认识自我，理解团队合作的重要性；</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(权重0.2</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能够理解团队中角色的定义及其在团队中的作用；</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具备完成团队中所承担任务的各种能力；</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9.4</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具备在多学科背景下的基础知识，在团队中的协作能力和沟通能力，进行有效的组织和协调。</w:t>
                      </w:r>
                    </w:p>
                    <w:p>
                      <w:pPr>
                        <w:ind w:firstLine="720"/>
                        <w:rPr>
                          <w:rFonts w:ascii="微软雅黑" w:hAnsi="微软雅黑" w:eastAsia="微软雅黑" w:cs="宋体"/>
                          <w:color w:val="000000" w:themeColor="text1"/>
                          <w14:textFill>
                            <w14:solidFill>
                              <w14:schemeClr w14:val="tx1"/>
                            </w14:solidFill>
                          </w14:textFill>
                        </w:rPr>
                      </w:pPr>
                    </w:p>
                    <w:p>
                      <w:pPr>
                        <w:widowControl w:val="0"/>
                        <w:spacing w:after="0" w:line="240" w:lineRule="auto"/>
                        <w:ind w:firstLine="720"/>
                        <w:jc w:val="both"/>
                        <w:rPr>
                          <w:rFonts w:ascii="微软雅黑" w:hAnsi="微软雅黑" w:eastAsia="微软雅黑" w:cs="微软雅黑"/>
                          <w:color w:val="000000" w:themeColor="text1"/>
                          <w14:textFill>
                            <w14:solidFill>
                              <w14:schemeClr w14:val="tx1"/>
                            </w14:solidFill>
                          </w14:textFill>
                        </w:rPr>
                      </w:pPr>
                      <w:r>
                        <w:rPr>
                          <w:rFonts w:hint="eastAsia" w:ascii="宋体" w:hAnsi="宋体" w:eastAsia="微软雅黑" w:cs="宋体"/>
                          <w:b/>
                          <w:bCs/>
                          <w:color w:val="000000" w:themeColor="text1"/>
                          <w14:textFill>
                            <w14:solidFill>
                              <w14:schemeClr w14:val="tx1"/>
                            </w14:solidFill>
                          </w14:textFill>
                        </w:rPr>
                        <w:t>1</w:t>
                      </w:r>
                      <w:r>
                        <w:rPr>
                          <w:rFonts w:ascii="宋体" w:hAnsi="宋体" w:eastAsia="微软雅黑" w:cs="宋体"/>
                          <w:b/>
                          <w:bCs/>
                          <w:color w:val="000000" w:themeColor="text1"/>
                          <w14:textFill>
                            <w14:solidFill>
                              <w14:schemeClr w14:val="tx1"/>
                            </w14:solidFill>
                          </w14:textFill>
                        </w:rPr>
                        <w:t>0.</w:t>
                      </w:r>
                      <w:r>
                        <w:rPr>
                          <w:rFonts w:hint="eastAsia" w:ascii="宋体" w:hAnsi="宋体" w:eastAsia="微软雅黑" w:cs="宋体"/>
                          <w:b/>
                          <w:bCs/>
                          <w:color w:val="000000" w:themeColor="text1"/>
                          <w14:textFill>
                            <w14:solidFill>
                              <w14:schemeClr w14:val="tx1"/>
                            </w14:solidFill>
                          </w14:textFill>
                        </w:rPr>
                        <w:t>沟通和交流</w:t>
                      </w:r>
                      <w:r>
                        <w:rPr>
                          <w:rFonts w:hint="eastAsia" w:ascii="微软雅黑" w:hAnsi="微软雅黑" w:eastAsia="微软雅黑" w:cs="微软雅黑"/>
                          <w:color w:val="000000" w:themeColor="text1"/>
                          <w14:textFill>
                            <w14:solidFill>
                              <w14:schemeClr w14:val="tx1"/>
                            </w14:solidFill>
                          </w14:textFill>
                        </w:rPr>
                        <w:t>：能够就复杂工程问题与业界同行及社会公众进行有效沟通和交流，包括撰写报告和设计文稿、陈述发言、清晰表达或回应指令，并具备一定的国际视野，能够在跨文化背景下进行沟通和交流。</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10.1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具备良好的英语听说读写能力，针对计算机领域具有较好的跨文化沟通和交流能力；</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10.2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对计算机学科领域的发展动态前沿有比较清晰的认识，能够形成自己的认识和看法；</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10.3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能够就工程问题进行有效的沟通，熟练使用撰写报告和设计文稿、陈述发言、清晰表达或回应指令等。</w:t>
                      </w:r>
                    </w:p>
                    <w:p>
                      <w:pPr>
                        <w:widowControl w:val="0"/>
                        <w:spacing w:after="0" w:line="240" w:lineRule="auto"/>
                        <w:ind w:firstLine="720"/>
                        <w:jc w:val="both"/>
                        <w:rPr>
                          <w:rFonts w:ascii="宋体" w:hAnsi="宋体" w:cs="宋体" w:eastAsiaTheme="minorEastAsia"/>
                          <w:color w:val="000000" w:themeColor="text1"/>
                          <w14:textFill>
                            <w14:solidFill>
                              <w14:schemeClr w14:val="tx1"/>
                            </w14:solidFill>
                          </w14:textFill>
                        </w:rPr>
                      </w:pPr>
                    </w:p>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1</w:t>
                      </w:r>
                      <w:r>
                        <w:rPr>
                          <w:rFonts w:ascii="微软雅黑" w:hAnsi="微软雅黑" w:eastAsia="微软雅黑" w:cs="微软雅黑"/>
                          <w:b/>
                          <w:bCs/>
                          <w:color w:val="000000" w:themeColor="text1"/>
                          <w14:textFill>
                            <w14:solidFill>
                              <w14:schemeClr w14:val="tx1"/>
                            </w14:solidFill>
                          </w14:textFill>
                        </w:rPr>
                        <w:t>1.</w:t>
                      </w:r>
                      <w:r>
                        <w:rPr>
                          <w:rFonts w:hint="eastAsia" w:ascii="微软雅黑" w:hAnsi="微软雅黑" w:eastAsia="微软雅黑" w:cs="微软雅黑"/>
                          <w:b/>
                          <w:bCs/>
                          <w:color w:val="000000" w:themeColor="text1"/>
                          <w14:textFill>
                            <w14:solidFill>
                              <w14:schemeClr w14:val="tx1"/>
                            </w14:solidFill>
                          </w14:textFill>
                        </w:rPr>
                        <w:t>项目管理</w:t>
                      </w:r>
                      <w:r>
                        <w:rPr>
                          <w:rFonts w:hint="eastAsia" w:ascii="微软雅黑" w:hAnsi="微软雅黑" w:eastAsia="微软雅黑" w:cs="微软雅黑"/>
                          <w:color w:val="000000" w:themeColor="text1"/>
                          <w14:textFill>
                            <w14:solidFill>
                              <w14:schemeClr w14:val="tx1"/>
                            </w14:solidFill>
                          </w14:textFill>
                        </w:rPr>
                        <w:t>：理解并掌握工程管理原理与经济决策方法，并能在多学科环境中应用。</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11.1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掌握工程项目管理的基本原理，资源管理和决策等知识；</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11.2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掌握人工智能领域系统开发的全生命周期的管理基本方法和技术；</w:t>
                      </w:r>
                    </w:p>
                    <w:p>
                      <w:pPr>
                        <w:pStyle w:val="19"/>
                        <w:numPr>
                          <w:ilvl w:val="1"/>
                          <w:numId w:val="3"/>
                        </w:numPr>
                        <w:ind w:firstLineChars="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能够在多学科环境中具备项目的管理能力和经验。</w:t>
                      </w:r>
                    </w:p>
                    <w:p>
                      <w:pPr>
                        <w:widowControl w:val="0"/>
                        <w:spacing w:after="0" w:line="240" w:lineRule="auto"/>
                        <w:ind w:firstLine="720"/>
                        <w:jc w:val="both"/>
                        <w:rPr>
                          <w:rFonts w:ascii="宋体" w:hAnsi="宋体" w:cs="宋体" w:eastAsiaTheme="minorEastAsia"/>
                          <w:color w:val="000000" w:themeColor="text1"/>
                          <w14:textFill>
                            <w14:solidFill>
                              <w14:schemeClr w14:val="tx1"/>
                            </w14:solidFill>
                          </w14:textFill>
                        </w:rPr>
                      </w:pPr>
                    </w:p>
                    <w:p>
                      <w:pPr>
                        <w:widowControl w:val="0"/>
                        <w:spacing w:after="0" w:line="240" w:lineRule="auto"/>
                        <w:ind w:firstLine="720"/>
                        <w:jc w:val="both"/>
                        <w:rPr>
                          <w:rFonts w:ascii="宋体" w:hAnsi="宋体" w:cs="宋体"/>
                          <w:color w:val="000000" w:themeColor="text1"/>
                          <w14:textFill>
                            <w14:solidFill>
                              <w14:schemeClr w14:val="tx1"/>
                            </w14:solidFill>
                          </w14:textFill>
                        </w:rPr>
                      </w:pPr>
                      <w:r>
                        <w:rPr>
                          <w:rFonts w:hint="eastAsia" w:ascii="宋体" w:hAnsi="宋体" w:eastAsia="微软雅黑" w:cs="宋体"/>
                          <w:b/>
                          <w:bCs/>
                          <w:color w:val="000000" w:themeColor="text1"/>
                          <w14:textFill>
                            <w14:solidFill>
                              <w14:schemeClr w14:val="tx1"/>
                            </w14:solidFill>
                          </w14:textFill>
                        </w:rPr>
                        <w:t>1</w:t>
                      </w:r>
                      <w:r>
                        <w:rPr>
                          <w:rFonts w:ascii="宋体" w:hAnsi="宋体" w:eastAsia="微软雅黑" w:cs="宋体"/>
                          <w:b/>
                          <w:bCs/>
                          <w:color w:val="000000" w:themeColor="text1"/>
                          <w14:textFill>
                            <w14:solidFill>
                              <w14:schemeClr w14:val="tx1"/>
                            </w14:solidFill>
                          </w14:textFill>
                        </w:rPr>
                        <w:t>2.</w:t>
                      </w:r>
                      <w:r>
                        <w:rPr>
                          <w:rFonts w:hint="eastAsia" w:ascii="宋体" w:hAnsi="宋体" w:eastAsia="微软雅黑" w:cs="宋体"/>
                          <w:b/>
                          <w:bCs/>
                          <w:color w:val="000000" w:themeColor="text1"/>
                          <w14:textFill>
                            <w14:solidFill>
                              <w14:schemeClr w14:val="tx1"/>
                            </w14:solidFill>
                          </w14:textFill>
                        </w:rPr>
                        <w:t>终身学习</w:t>
                      </w:r>
                      <w:r>
                        <w:rPr>
                          <w:rFonts w:hint="eastAsia" w:ascii="微软雅黑" w:hAnsi="微软雅黑" w:eastAsia="微软雅黑" w:cs="微软雅黑"/>
                          <w:color w:val="000000" w:themeColor="text1"/>
                          <w14:textFill>
                            <w14:solidFill>
                              <w14:schemeClr w14:val="tx1"/>
                            </w14:solidFill>
                          </w14:textFill>
                        </w:rPr>
                        <w:t>：具有自主学习和终身学习的意识，有不断学习和适应计算机技术发展的能力。</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12.1</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具备终生学习和自主学习的意识，认识到终生学习和自主学习的重要性；</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12.2</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(权重0.3</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能够采用合适的方法，促进自我能力的提高，自我素质和修改的提升；</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12.3</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(权重0.4</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能够主动适应人工智能新技术的发展，采用新的学习手段，不断学习并适应信息产业领域技术的快速发展。</w:t>
                      </w:r>
                    </w:p>
                    <w:p/>
                  </w:txbxContent>
                </v:textbox>
                <w10:wrap type="none"/>
                <w10:anchorlock/>
              </v:shape>
            </w:pict>
          </mc:Fallback>
        </mc:AlternateContent>
      </w:r>
    </w:p>
    <w:p>
      <w:pPr>
        <w:rPr>
          <w:rFonts w:ascii="微软雅黑" w:hAnsi="微软雅黑" w:eastAsia="微软雅黑" w:cs="微软雅黑"/>
          <w:sz w:val="36"/>
        </w:rPr>
      </w:pPr>
      <w:r>
        <w:rPr>
          <w:rFonts w:ascii="微软雅黑" w:hAnsi="微软雅黑" w:eastAsia="微软雅黑" w:cs="微软雅黑"/>
          <w:sz w:val="36"/>
        </w:rPr>
        <mc:AlternateContent>
          <mc:Choice Requires="wps">
            <w:drawing>
              <wp:inline distT="0" distB="0" distL="0" distR="0">
                <wp:extent cx="6081395" cy="9101455"/>
                <wp:effectExtent l="0" t="0" r="14605" b="23495"/>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81823" cy="9101470"/>
                        </a:xfrm>
                        <a:prstGeom prst="rect">
                          <a:avLst/>
                        </a:prstGeom>
                        <a:solidFill>
                          <a:srgbClr val="FFFFFF"/>
                        </a:solidFill>
                        <a:ln w="9525">
                          <a:solidFill>
                            <a:srgbClr val="000000"/>
                          </a:solidFill>
                          <a:miter lim="800000"/>
                        </a:ln>
                      </wps:spPr>
                      <wps:txbx>
                        <w:txbxContent>
                          <w:p>
                            <w:pPr>
                              <w:pStyle w:val="19"/>
                              <w:widowControl w:val="0"/>
                              <w:numPr>
                                <w:ilvl w:val="0"/>
                                <w:numId w:val="4"/>
                              </w:numPr>
                              <w:spacing w:after="0" w:line="240" w:lineRule="auto"/>
                              <w:ind w:firstLineChars="0"/>
                              <w:jc w:val="both"/>
                              <w:rPr>
                                <w:rFonts w:ascii="黑体" w:hAnsi="黑体" w:eastAsia="黑体" w:cs="Times New Roman"/>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主干学科</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信息科学与技术、计算机科学与技术</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专业大类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电子信息类</w:t>
                            </w:r>
                          </w:p>
                          <w:p>
                            <w:pPr>
                              <w:pStyle w:val="19"/>
                              <w:widowControl w:val="0"/>
                              <w:numPr>
                                <w:ilvl w:val="0"/>
                                <w:numId w:val="4"/>
                              </w:numPr>
                              <w:spacing w:after="0" w:line="240" w:lineRule="auto"/>
                              <w:ind w:firstLineChars="0"/>
                              <w:jc w:val="both"/>
                              <w:rPr>
                                <w:rFonts w:ascii="黑体" w:hAnsi="黑体" w:eastAsia="黑体" w:cs="Times New Roman"/>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核心课程</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计算机程序设计基础、面向对象程序设计、离散结构、算法与数据结构；计算机组成原理、数字逻辑、计算机网络、操作系统、自动控制原理、数据库原理与应用、数字图像处理、人工智原理、嵌入式智能系统、智能计算、工业机器人技术等。</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修业年限</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 xml:space="preserve"> 学制4年，实行弹性修业年限  </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最低毕业学分</w:t>
                            </w:r>
                          </w:p>
                          <w:p>
                            <w:pPr>
                              <w:ind w:firstLine="720"/>
                              <w:rPr>
                                <w:rFonts w:ascii="宋体" w:cs="Times New Roman"/>
                                <w:b/>
                                <w:bCs/>
                                <w:color w:val="000000" w:themeColor="text1"/>
                                <w:sz w:val="28"/>
                                <w:szCs w:val="28"/>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学生完成专业培养方案规定的课程，考核合格，准予毕业的最低168学分</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授予学位</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 xml:space="preserve"> </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工学学士</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课程设置</w:t>
                            </w:r>
                          </w:p>
                          <w:p>
                            <w:pPr>
                              <w:ind w:firstLine="560" w:firstLineChars="200"/>
                              <w:rPr>
                                <w:rFonts w:ascii="宋体" w:cs="Times New Roman"/>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一）理论教学平台</w:t>
                            </w:r>
                          </w:p>
                          <w:p>
                            <w:pPr>
                              <w:spacing w:line="480" w:lineRule="auto"/>
                              <w:ind w:firstLine="488"/>
                              <w:rPr>
                                <w:rFonts w:ascii="宋体" w:hAnsi="宋体" w:cs="宋体" w:eastAsiaTheme="minorEastAsia"/>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通识教育模块</w:t>
                            </w:r>
                          </w:p>
                          <w:p>
                            <w:pPr>
                              <w:spacing w:line="288" w:lineRule="auto"/>
                              <w:ind w:firstLine="488"/>
                              <w:rPr>
                                <w:rFonts w:ascii="宋体" w:cs="Times New Roman" w:eastAsiaTheme="minorEastAsia"/>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）公共基础课</w:t>
                            </w:r>
                          </w:p>
                          <w:tbl>
                            <w:tblPr>
                              <w:tblStyle w:val="8"/>
                              <w:tblW w:w="945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2"/>
                              <w:gridCol w:w="1701"/>
                              <w:gridCol w:w="1276"/>
                              <w:gridCol w:w="709"/>
                              <w:gridCol w:w="708"/>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421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2977" w:type="dxa"/>
                                  <w:gridSpan w:val="2"/>
                                  <w:tcMar>
                                    <w:left w:w="0" w:type="dxa"/>
                                    <w:right w:w="0" w:type="dxa"/>
                                  </w:tcMar>
                                  <w:vAlign w:val="center"/>
                                </w:tcPr>
                                <w:p>
                                  <w:pPr>
                                    <w:spacing w:after="0" w:line="240" w:lineRule="auto"/>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709"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70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51"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421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701" w:type="dxa"/>
                                  <w:tcMar>
                                    <w:left w:w="0" w:type="dxa"/>
                                    <w:right w:w="0" w:type="dxa"/>
                                  </w:tcMar>
                                  <w:vAlign w:val="center"/>
                                </w:tcPr>
                                <w:p>
                                  <w:pPr>
                                    <w:spacing w:after="0" w:line="240" w:lineRule="auto"/>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1276" w:type="dxa"/>
                                  <w:vAlign w:val="center"/>
                                </w:tcPr>
                                <w:p>
                                  <w:pPr>
                                    <w:spacing w:after="0" w:line="240" w:lineRule="auto"/>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709"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708"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思想道德修养与法律基础</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中国近代史纲要</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马克思主义基本原理</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毛泽东思想和中国特色社会主义理论体系概论(上)</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毛泽东思想和中国特色社会主义理论体系概论(下)</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形势与政策</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8</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大学体育(1)</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大学体育(2)</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大学体育(3)</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bl>
                          <w:p/>
                        </w:txbxContent>
                      </wps:txbx>
                      <wps:bodyPr rot="0" vert="horz" wrap="square" lIns="91440" tIns="45720" rIns="91440" bIns="45720" anchor="t" anchorCtr="0">
                        <a:noAutofit/>
                      </wps:bodyPr>
                    </wps:wsp>
                  </a:graphicData>
                </a:graphic>
              </wp:inline>
            </w:drawing>
          </mc:Choice>
          <mc:Fallback>
            <w:pict>
              <v:shape id="_x0000_s1026" o:spid="_x0000_s1026" o:spt="202" type="#_x0000_t202" style="height:716.65pt;width:478.85pt;" fillcolor="#FFFFFF" filled="t" stroked="t" coordsize="21600,21600" o:gfxdata="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STZK91wAA&#10;AAYBAAAPAAAAAAAAAAEAIAAAACIAAABkcnMvZG93bnJldi54bWxQSwECFAAUAAAACACHTuJAuVN2&#10;xh8CAAAuBAAADgAAAAAAAAABACAAAAAmAQAAZHJzL2Uyb0RvYy54bWxQSwUGAAAAAAYABgBZAQAA&#10;twUAAAAA&#10;">
                <v:fill on="t" focussize="0,0"/>
                <v:stroke color="#000000" miterlimit="8" joinstyle="miter"/>
                <v:imagedata o:title=""/>
                <o:lock v:ext="edit" aspectratio="f"/>
                <v:textbox>
                  <w:txbxContent>
                    <w:p>
                      <w:pPr>
                        <w:pStyle w:val="19"/>
                        <w:widowControl w:val="0"/>
                        <w:numPr>
                          <w:ilvl w:val="0"/>
                          <w:numId w:val="4"/>
                        </w:numPr>
                        <w:spacing w:after="0" w:line="240" w:lineRule="auto"/>
                        <w:ind w:firstLineChars="0"/>
                        <w:jc w:val="both"/>
                        <w:rPr>
                          <w:rFonts w:ascii="黑体" w:hAnsi="黑体" w:eastAsia="黑体" w:cs="Times New Roman"/>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主干学科</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信息科学与技术、计算机科学与技术</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专业大类</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电子信息类</w:t>
                      </w:r>
                    </w:p>
                    <w:p>
                      <w:pPr>
                        <w:pStyle w:val="19"/>
                        <w:widowControl w:val="0"/>
                        <w:numPr>
                          <w:ilvl w:val="0"/>
                          <w:numId w:val="4"/>
                        </w:numPr>
                        <w:spacing w:after="0" w:line="240" w:lineRule="auto"/>
                        <w:ind w:firstLineChars="0"/>
                        <w:jc w:val="both"/>
                        <w:rPr>
                          <w:rFonts w:ascii="黑体" w:hAnsi="黑体" w:eastAsia="黑体" w:cs="Times New Roman"/>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核心课程</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计算机程序设计基础、面向对象程序设计、离散结构、算法与数据结构；计算机组成原理、数字逻辑、计算机网络、操作系统、自动控制原理、数据库原理与应用、数字图像处理、人工智原理、嵌入式智能系统、智能计算、工业机器人技术等。</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修业年限</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 xml:space="preserve"> 学制4年，实行弹性修业年限  </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最低毕业学分</w:t>
                      </w:r>
                    </w:p>
                    <w:p>
                      <w:pPr>
                        <w:ind w:firstLine="720"/>
                        <w:rPr>
                          <w:rFonts w:ascii="宋体" w:cs="Times New Roman"/>
                          <w:b/>
                          <w:bCs/>
                          <w:color w:val="000000" w:themeColor="text1"/>
                          <w:sz w:val="28"/>
                          <w:szCs w:val="28"/>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学生完成专业培养方案规定的课程，考核合格，准予毕业的最低168学分</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授予学位</w:t>
                      </w:r>
                    </w:p>
                    <w:p>
                      <w:pPr>
                        <w:ind w:firstLine="72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 xml:space="preserve"> </w:t>
                      </w:r>
                      <w:r>
                        <w:rPr>
                          <w:rFonts w:ascii="微软雅黑" w:hAnsi="微软雅黑" w:eastAsia="微软雅黑" w:cs="宋体"/>
                          <w:color w:val="000000" w:themeColor="text1"/>
                          <w14:textFill>
                            <w14:solidFill>
                              <w14:schemeClr w14:val="tx1"/>
                            </w14:solidFill>
                          </w14:textFill>
                        </w:rPr>
                        <w:t xml:space="preserve"> </w:t>
                      </w:r>
                      <w:r>
                        <w:rPr>
                          <w:rFonts w:hint="eastAsia" w:ascii="微软雅黑" w:hAnsi="微软雅黑" w:eastAsia="微软雅黑" w:cs="宋体"/>
                          <w:color w:val="000000" w:themeColor="text1"/>
                          <w14:textFill>
                            <w14:solidFill>
                              <w14:schemeClr w14:val="tx1"/>
                            </w14:solidFill>
                          </w14:textFill>
                        </w:rPr>
                        <w:t>工学学士</w:t>
                      </w:r>
                    </w:p>
                    <w:p>
                      <w:pPr>
                        <w:pStyle w:val="19"/>
                        <w:widowControl w:val="0"/>
                        <w:numPr>
                          <w:ilvl w:val="0"/>
                          <w:numId w:val="4"/>
                        </w:numPr>
                        <w:spacing w:after="0" w:line="240" w:lineRule="auto"/>
                        <w:ind w:firstLineChars="0"/>
                        <w:jc w:val="both"/>
                        <w:rPr>
                          <w:rFonts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课程设置</w:t>
                      </w:r>
                    </w:p>
                    <w:p>
                      <w:pPr>
                        <w:ind w:firstLine="560" w:firstLineChars="200"/>
                        <w:rPr>
                          <w:rFonts w:ascii="宋体" w:cs="Times New Roman"/>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一）理论教学平台</w:t>
                      </w:r>
                    </w:p>
                    <w:p>
                      <w:pPr>
                        <w:spacing w:line="480" w:lineRule="auto"/>
                        <w:ind w:firstLine="488"/>
                        <w:rPr>
                          <w:rFonts w:ascii="宋体" w:hAnsi="宋体" w:cs="宋体" w:eastAsiaTheme="minorEastAsia"/>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通识教育模块</w:t>
                      </w:r>
                    </w:p>
                    <w:p>
                      <w:pPr>
                        <w:spacing w:line="288" w:lineRule="auto"/>
                        <w:ind w:firstLine="488"/>
                        <w:rPr>
                          <w:rFonts w:ascii="宋体" w:cs="Times New Roman" w:eastAsiaTheme="minorEastAsia"/>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）公共基础课</w:t>
                      </w:r>
                    </w:p>
                    <w:tbl>
                      <w:tblPr>
                        <w:tblStyle w:val="8"/>
                        <w:tblW w:w="945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2"/>
                        <w:gridCol w:w="1701"/>
                        <w:gridCol w:w="1276"/>
                        <w:gridCol w:w="709"/>
                        <w:gridCol w:w="708"/>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421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2977" w:type="dxa"/>
                            <w:gridSpan w:val="2"/>
                            <w:tcMar>
                              <w:left w:w="0" w:type="dxa"/>
                              <w:right w:w="0" w:type="dxa"/>
                            </w:tcMar>
                            <w:vAlign w:val="center"/>
                          </w:tcPr>
                          <w:p>
                            <w:pPr>
                              <w:spacing w:after="0" w:line="240" w:lineRule="auto"/>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709"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70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51"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421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701" w:type="dxa"/>
                            <w:tcMar>
                              <w:left w:w="0" w:type="dxa"/>
                              <w:right w:w="0" w:type="dxa"/>
                            </w:tcMar>
                            <w:vAlign w:val="center"/>
                          </w:tcPr>
                          <w:p>
                            <w:pPr>
                              <w:spacing w:after="0" w:line="240" w:lineRule="auto"/>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1276" w:type="dxa"/>
                            <w:vAlign w:val="center"/>
                          </w:tcPr>
                          <w:p>
                            <w:pPr>
                              <w:spacing w:after="0" w:line="240" w:lineRule="auto"/>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709"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708"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思想道德修养与法律基础</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中国近代史纲要</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马克思主义基本原理</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毛泽东思想和中国特色社会主义理论体系概论(上)</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毛泽东思想和中国特色社会主义理论体系概论(下)</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形势与政策</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8</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大学体育(1)</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大学体育(2)</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大学体育(3)</w:t>
                            </w:r>
                          </w:p>
                        </w:tc>
                        <w:tc>
                          <w:tcPr>
                            <w:tcW w:w="170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bl>
                    <w:p/>
                  </w:txbxContent>
                </v:textbox>
                <w10:wrap type="none"/>
                <w10:anchorlock/>
              </v:shape>
            </w:pict>
          </mc:Fallback>
        </mc:AlternateContent>
      </w:r>
    </w:p>
    <w:p>
      <w:pPr>
        <w:rPr>
          <w:rFonts w:eastAsiaTheme="minorEastAsia"/>
        </w:rPr>
      </w:pPr>
      <w:r>
        <mc:AlternateContent>
          <mc:Choice Requires="wps">
            <w:drawing>
              <wp:inline distT="0" distB="0" distL="0" distR="0">
                <wp:extent cx="6028055" cy="9005570"/>
                <wp:effectExtent l="0" t="0" r="10795" b="24130"/>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28660" cy="9005777"/>
                        </a:xfrm>
                        <a:prstGeom prst="rect">
                          <a:avLst/>
                        </a:prstGeom>
                        <a:solidFill>
                          <a:srgbClr val="FFFFFF"/>
                        </a:solidFill>
                        <a:ln w="9525">
                          <a:solidFill>
                            <a:srgbClr val="000000"/>
                          </a:solidFill>
                          <a:miter lim="800000"/>
                        </a:ln>
                      </wps:spPr>
                      <wps:txbx>
                        <w:txbxContent>
                          <w:tbl>
                            <w:tblPr>
                              <w:tblStyle w:val="8"/>
                              <w:tblW w:w="945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8"/>
                              <w:gridCol w:w="1535"/>
                              <w:gridCol w:w="1276"/>
                              <w:gridCol w:w="709"/>
                              <w:gridCol w:w="708"/>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大学体育(4)</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大学英语A(1)</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大学英语A(2)</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大学英语A(3)</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学术英语</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大学物理(力学)B</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大学物理(电磁学)B</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大学物理(光学)B</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数学分析A</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72</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数学分析B</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96</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高等代数</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概率论与数理统计</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bl>
                          <w:p>
                            <w:pPr>
                              <w:rPr>
                                <w:rFonts w:eastAsiaTheme="minorEastAsia"/>
                              </w:rPr>
                            </w:pPr>
                          </w:p>
                          <w:p>
                            <w:pPr>
                              <w:widowControl w:val="0"/>
                              <w:numPr>
                                <w:ilvl w:val="0"/>
                                <w:numId w:val="5"/>
                              </w:numPr>
                              <w:spacing w:after="0" w:line="288" w:lineRule="auto"/>
                              <w:ind w:firstLine="480" w:firstLineChars="200"/>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素质必修课</w:t>
                            </w:r>
                          </w:p>
                          <w:tbl>
                            <w:tblPr>
                              <w:tblStyle w:val="8"/>
                              <w:tblW w:w="939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4"/>
                              <w:gridCol w:w="1276"/>
                              <w:gridCol w:w="992"/>
                              <w:gridCol w:w="850"/>
                              <w:gridCol w:w="699"/>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435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bookmarkStart w:id="1" w:name="_Hlk13759443"/>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2268"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50"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699"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122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435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276"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50"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699"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22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军事理论</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心理健康教育</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大学生职业发展</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0</w:t>
                                  </w:r>
                                  <w:r>
                                    <w:rPr>
                                      <w:rFonts w:ascii="微软雅黑" w:hAnsi="微软雅黑" w:eastAsia="微软雅黑" w:cs="宋体"/>
                                      <w:color w:val="000000" w:themeColor="text1"/>
                                      <w:sz w:val="18"/>
                                      <w:szCs w:val="18"/>
                                      <w14:textFill>
                                        <w14:solidFill>
                                          <w14:schemeClr w14:val="tx1"/>
                                        </w14:solidFill>
                                      </w14:textFill>
                                    </w:rPr>
                                    <w:t>.5</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创业基础与就业指导</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8</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文献检索</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0</w:t>
                                  </w:r>
                                  <w:r>
                                    <w:rPr>
                                      <w:rFonts w:ascii="微软雅黑" w:hAnsi="微软雅黑" w:eastAsia="微软雅黑" w:cs="宋体"/>
                                      <w:color w:val="000000" w:themeColor="text1"/>
                                      <w:sz w:val="18"/>
                                      <w:szCs w:val="18"/>
                                      <w14:textFill>
                                        <w14:solidFill>
                                          <w14:schemeClr w14:val="tx1"/>
                                        </w14:solidFill>
                                      </w14:textFill>
                                    </w:rPr>
                                    <w:t>.5</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bookmarkEnd w:id="1"/>
                          </w:tbl>
                          <w:p>
                            <w:pPr>
                              <w:rPr>
                                <w:rFonts w:ascii="宋体" w:hAnsi="宋体" w:cs="宋体" w:eastAsiaTheme="minorEastAsia"/>
                                <w:b/>
                                <w:bCs/>
                                <w:color w:val="000000" w:themeColor="text1"/>
                                <w:sz w:val="24"/>
                                <w:szCs w:val="24"/>
                                <w14:textFill>
                                  <w14:solidFill>
                                    <w14:schemeClr w14:val="tx1"/>
                                  </w14:solidFill>
                                </w14:textFill>
                              </w:rPr>
                            </w:pPr>
                          </w:p>
                          <w:p>
                            <w:pPr>
                              <w:widowControl w:val="0"/>
                              <w:numPr>
                                <w:ilvl w:val="0"/>
                                <w:numId w:val="5"/>
                              </w:numPr>
                              <w:spacing w:after="0" w:line="288" w:lineRule="auto"/>
                              <w:ind w:firstLine="482"/>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素质选修课</w:t>
                            </w:r>
                          </w:p>
                          <w:tbl>
                            <w:tblPr>
                              <w:tblStyle w:val="8"/>
                              <w:tblW w:w="932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4"/>
                              <w:gridCol w:w="1134"/>
                              <w:gridCol w:w="1331"/>
                              <w:gridCol w:w="836"/>
                              <w:gridCol w:w="626"/>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35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2465"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62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1047"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35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134"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133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36"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62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47"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435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素质限选课（学生选修）</w:t>
                                  </w:r>
                                </w:p>
                              </w:tc>
                              <w:tc>
                                <w:tcPr>
                                  <w:tcW w:w="1134"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96</w:t>
                                  </w:r>
                                </w:p>
                              </w:tc>
                              <w:tc>
                                <w:tcPr>
                                  <w:tcW w:w="133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36"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6</w:t>
                                  </w:r>
                                </w:p>
                              </w:tc>
                              <w:tc>
                                <w:tcPr>
                                  <w:tcW w:w="626"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w:t>
                                  </w: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4</w:t>
                                  </w:r>
                                </w:p>
                              </w:tc>
                              <w:tc>
                                <w:tcPr>
                                  <w:tcW w:w="1047"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435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素质任选课（学生选修）</w:t>
                                  </w:r>
                                </w:p>
                              </w:tc>
                              <w:tc>
                                <w:tcPr>
                                  <w:tcW w:w="1134"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96</w:t>
                                  </w:r>
                                </w:p>
                              </w:tc>
                              <w:tc>
                                <w:tcPr>
                                  <w:tcW w:w="133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36" w:type="dxa"/>
                                </w:tcPr>
                                <w:p>
                                  <w:pPr>
                                    <w:jc w:val="center"/>
                                    <w:rPr>
                                      <w:rFonts w:ascii="微软雅黑" w:hAnsi="微软雅黑" w:eastAsia="微软雅黑" w:cs="Times New Roman"/>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6</w:t>
                                  </w:r>
                                </w:p>
                              </w:tc>
                              <w:tc>
                                <w:tcPr>
                                  <w:tcW w:w="626"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3</w:t>
                                  </w: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6</w:t>
                                  </w:r>
                                </w:p>
                              </w:tc>
                              <w:tc>
                                <w:tcPr>
                                  <w:tcW w:w="1047"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w:t>
                                  </w:r>
                                </w:p>
                              </w:tc>
                            </w:tr>
                          </w:tbl>
                          <w:p>
                            <w:pPr>
                              <w:rPr>
                                <w:rFonts w:eastAsiaTheme="minorEastAsia"/>
                              </w:rPr>
                            </w:pPr>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709.1pt;width:474.65pt;" fillcolor="#FFFFFF" filled="t" stroked="t" coordsize="21600,21600" o:gfxdata="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P6Je1TXAAAA&#10;BgEAAA8AAAAAAAAAAQAgAAAAIgAAAGRycy9kb3ducmV2LnhtbFBLAQIUABQAAAAIAIdO4kBRNrqM&#10;HgIAAC4EAAAOAAAAAAAAAAEAIAAAACYBAABkcnMvZTJvRG9jLnhtbFBLBQYAAAAABgAGAFkBAAC2&#10;BQAAAAA=&#10;">
                <v:fill on="t" focussize="0,0"/>
                <v:stroke color="#000000" miterlimit="8" joinstyle="miter"/>
                <v:imagedata o:title=""/>
                <o:lock v:ext="edit" aspectratio="f"/>
                <v:textbox>
                  <w:txbxContent>
                    <w:tbl>
                      <w:tblPr>
                        <w:tblStyle w:val="8"/>
                        <w:tblW w:w="945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8"/>
                        <w:gridCol w:w="1535"/>
                        <w:gridCol w:w="1276"/>
                        <w:gridCol w:w="709"/>
                        <w:gridCol w:w="708"/>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大学体育(4)</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大学英语A(1)</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大学英语A(2)</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大学英语A(3)</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学术英语</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大学物理(力学)B</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大学物理(电磁学)B</w:t>
                            </w:r>
                          </w:p>
                        </w:tc>
                        <w:tc>
                          <w:tcPr>
                            <w:tcW w:w="15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1276"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大学物理(光学)B</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数学分析A</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72</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数学分析B</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96</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高等代数</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r>
                              <w:rPr>
                                <w:rFonts w:ascii="微软雅黑" w:hAnsi="微软雅黑" w:eastAsia="微软雅黑" w:cs="宋体"/>
                                <w:color w:val="000000" w:themeColor="text1"/>
                                <w:sz w:val="18"/>
                                <w:szCs w:val="18"/>
                                <w14:textFill>
                                  <w14:solidFill>
                                    <w14:schemeClr w14:val="tx1"/>
                                  </w14:solidFill>
                                </w14:textFill>
                              </w:rPr>
                              <w:t>.5</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8"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概率论与数理统计</w:t>
                            </w:r>
                          </w:p>
                        </w:tc>
                        <w:tc>
                          <w:tcPr>
                            <w:tcW w:w="15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1276"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70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3</w:t>
                            </w:r>
                          </w:p>
                        </w:tc>
                        <w:tc>
                          <w:tcPr>
                            <w:tcW w:w="708"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w:t>
                            </w:r>
                          </w:p>
                        </w:tc>
                      </w:tr>
                    </w:tbl>
                    <w:p>
                      <w:pPr>
                        <w:rPr>
                          <w:rFonts w:eastAsiaTheme="minorEastAsia"/>
                        </w:rPr>
                      </w:pPr>
                    </w:p>
                    <w:p>
                      <w:pPr>
                        <w:widowControl w:val="0"/>
                        <w:numPr>
                          <w:ilvl w:val="0"/>
                          <w:numId w:val="5"/>
                        </w:numPr>
                        <w:spacing w:after="0" w:line="288" w:lineRule="auto"/>
                        <w:ind w:firstLine="480" w:firstLineChars="200"/>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素质必修课</w:t>
                      </w:r>
                    </w:p>
                    <w:tbl>
                      <w:tblPr>
                        <w:tblStyle w:val="8"/>
                        <w:tblW w:w="939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4"/>
                        <w:gridCol w:w="1276"/>
                        <w:gridCol w:w="992"/>
                        <w:gridCol w:w="850"/>
                        <w:gridCol w:w="699"/>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435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bookmarkStart w:id="1" w:name="_Hlk13759443"/>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2268"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50"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699"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122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435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276"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50"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699"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22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军事理论</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心理健康教育</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r>
                              <w:rPr>
                                <w:rFonts w:ascii="微软雅黑" w:hAnsi="微软雅黑" w:eastAsia="微软雅黑" w:cs="宋体"/>
                                <w:color w:val="000000" w:themeColor="text1"/>
                                <w:sz w:val="18"/>
                                <w:szCs w:val="18"/>
                                <w14:textFill>
                                  <w14:solidFill>
                                    <w14:schemeClr w14:val="tx1"/>
                                  </w14:solidFill>
                                </w14:textFill>
                              </w:rPr>
                              <w:t>.5</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大学生职业发展</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0</w:t>
                            </w:r>
                            <w:r>
                              <w:rPr>
                                <w:rFonts w:ascii="微软雅黑" w:hAnsi="微软雅黑" w:eastAsia="微软雅黑" w:cs="宋体"/>
                                <w:color w:val="000000" w:themeColor="text1"/>
                                <w:sz w:val="18"/>
                                <w:szCs w:val="18"/>
                                <w14:textFill>
                                  <w14:solidFill>
                                    <w14:schemeClr w14:val="tx1"/>
                                  </w14:solidFill>
                                </w14:textFill>
                              </w:rPr>
                              <w:t>.5</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创业基础与就业指导</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8</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jc w:val="center"/>
                        </w:trPr>
                        <w:tc>
                          <w:tcPr>
                            <w:tcW w:w="435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文献检索</w:t>
                            </w:r>
                          </w:p>
                        </w:tc>
                        <w:tc>
                          <w:tcPr>
                            <w:tcW w:w="127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9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0</w:t>
                            </w:r>
                            <w:r>
                              <w:rPr>
                                <w:rFonts w:ascii="微软雅黑" w:hAnsi="微软雅黑" w:eastAsia="微软雅黑" w:cs="宋体"/>
                                <w:color w:val="000000" w:themeColor="text1"/>
                                <w:sz w:val="18"/>
                                <w:szCs w:val="18"/>
                                <w14:textFill>
                                  <w14:solidFill>
                                    <w14:schemeClr w14:val="tx1"/>
                                  </w14:solidFill>
                                </w14:textFill>
                              </w:rPr>
                              <w:t>.5</w:t>
                            </w:r>
                          </w:p>
                        </w:tc>
                        <w:tc>
                          <w:tcPr>
                            <w:tcW w:w="699"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1222"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bookmarkEnd w:id="1"/>
                    </w:tbl>
                    <w:p>
                      <w:pPr>
                        <w:rPr>
                          <w:rFonts w:ascii="宋体" w:hAnsi="宋体" w:cs="宋体" w:eastAsiaTheme="minorEastAsia"/>
                          <w:b/>
                          <w:bCs/>
                          <w:color w:val="000000" w:themeColor="text1"/>
                          <w:sz w:val="24"/>
                          <w:szCs w:val="24"/>
                          <w14:textFill>
                            <w14:solidFill>
                              <w14:schemeClr w14:val="tx1"/>
                            </w14:solidFill>
                          </w14:textFill>
                        </w:rPr>
                      </w:pPr>
                    </w:p>
                    <w:p>
                      <w:pPr>
                        <w:widowControl w:val="0"/>
                        <w:numPr>
                          <w:ilvl w:val="0"/>
                          <w:numId w:val="5"/>
                        </w:numPr>
                        <w:spacing w:after="0" w:line="288" w:lineRule="auto"/>
                        <w:ind w:firstLine="482"/>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素质选修课</w:t>
                      </w:r>
                    </w:p>
                    <w:tbl>
                      <w:tblPr>
                        <w:tblStyle w:val="8"/>
                        <w:tblW w:w="932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4"/>
                        <w:gridCol w:w="1134"/>
                        <w:gridCol w:w="1331"/>
                        <w:gridCol w:w="836"/>
                        <w:gridCol w:w="626"/>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35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2465"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62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1047"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35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134"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133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36"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62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47"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435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素质限选课（学生选修）</w:t>
                            </w:r>
                          </w:p>
                        </w:tc>
                        <w:tc>
                          <w:tcPr>
                            <w:tcW w:w="1134"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96</w:t>
                            </w:r>
                          </w:p>
                        </w:tc>
                        <w:tc>
                          <w:tcPr>
                            <w:tcW w:w="133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36"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6</w:t>
                            </w:r>
                          </w:p>
                        </w:tc>
                        <w:tc>
                          <w:tcPr>
                            <w:tcW w:w="626"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w:t>
                            </w: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4</w:t>
                            </w:r>
                          </w:p>
                        </w:tc>
                        <w:tc>
                          <w:tcPr>
                            <w:tcW w:w="1047"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435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素质任选课（学生选修）</w:t>
                            </w:r>
                          </w:p>
                        </w:tc>
                        <w:tc>
                          <w:tcPr>
                            <w:tcW w:w="1134"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96</w:t>
                            </w:r>
                          </w:p>
                        </w:tc>
                        <w:tc>
                          <w:tcPr>
                            <w:tcW w:w="133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36" w:type="dxa"/>
                          </w:tcPr>
                          <w:p>
                            <w:pPr>
                              <w:jc w:val="center"/>
                              <w:rPr>
                                <w:rFonts w:ascii="微软雅黑" w:hAnsi="微软雅黑" w:eastAsia="微软雅黑" w:cs="Times New Roman"/>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6</w:t>
                            </w:r>
                          </w:p>
                        </w:tc>
                        <w:tc>
                          <w:tcPr>
                            <w:tcW w:w="626"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3</w:t>
                            </w: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6</w:t>
                            </w:r>
                          </w:p>
                        </w:tc>
                        <w:tc>
                          <w:tcPr>
                            <w:tcW w:w="1047"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w:t>
                            </w:r>
                          </w:p>
                        </w:tc>
                      </w:tr>
                    </w:tbl>
                    <w:p>
                      <w:pPr>
                        <w:rPr>
                          <w:rFonts w:eastAsiaTheme="minorEastAsia"/>
                        </w:rPr>
                      </w:pPr>
                    </w:p>
                  </w:txbxContent>
                </v:textbox>
                <w10:wrap type="none"/>
                <w10:anchorlock/>
              </v:shape>
            </w:pict>
          </mc:Fallback>
        </mc:AlternateContent>
      </w:r>
    </w:p>
    <w:p>
      <w:pPr>
        <w:rPr>
          <w:rFonts w:eastAsiaTheme="minorEastAsia"/>
        </w:rPr>
      </w:pPr>
      <w:r>
        <w:rPr>
          <w:rFonts w:eastAsiaTheme="minorEastAsia"/>
        </w:rPr>
        <mc:AlternateContent>
          <mc:Choice Requires="wps">
            <w:drawing>
              <wp:inline distT="0" distB="0" distL="0" distR="0">
                <wp:extent cx="6007100" cy="8898890"/>
                <wp:effectExtent l="0" t="0" r="12700" b="16510"/>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07395" cy="8899451"/>
                        </a:xfrm>
                        <a:prstGeom prst="rect">
                          <a:avLst/>
                        </a:prstGeom>
                        <a:solidFill>
                          <a:srgbClr val="FFFFFF"/>
                        </a:solidFill>
                        <a:ln w="9525">
                          <a:solidFill>
                            <a:srgbClr val="000000"/>
                          </a:solidFill>
                          <a:miter lim="800000"/>
                        </a:ln>
                      </wps:spPr>
                      <wps:txbx>
                        <w:txbxContent>
                          <w:p>
                            <w:pPr>
                              <w:spacing w:line="480" w:lineRule="auto"/>
                              <w:ind w:firstLine="480" w:firstLineChars="200"/>
                              <w:rPr>
                                <w:rFonts w:ascii="宋体" w:cs="Times New Roman"/>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学科专业课程模块</w:t>
                            </w:r>
                          </w:p>
                          <w:p>
                            <w:pPr>
                              <w:spacing w:line="288" w:lineRule="auto"/>
                              <w:ind w:firstLine="480" w:firstLineChars="200"/>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）学科基础课</w:t>
                            </w:r>
                          </w:p>
                          <w:tbl>
                            <w:tblPr>
                              <w:tblStyle w:val="8"/>
                              <w:tblW w:w="93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5"/>
                              <w:gridCol w:w="838"/>
                              <w:gridCol w:w="838"/>
                              <w:gridCol w:w="838"/>
                              <w:gridCol w:w="838"/>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515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76"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3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5155"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8"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38"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8"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8"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计算机程序设计基础</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72</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4.5</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1</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人工智能程序设计（</w:t>
                                  </w:r>
                                  <w:r>
                                    <w:rPr>
                                      <w:rFonts w:ascii="微软雅黑" w:hAnsi="微软雅黑" w:eastAsia="微软雅黑"/>
                                      <w:color w:val="000000" w:themeColor="text1"/>
                                      <w:sz w:val="18"/>
                                      <w:szCs w:val="18"/>
                                      <w14:textFill>
                                        <w14:solidFill>
                                          <w14:schemeClr w14:val="tx1"/>
                                        </w14:solidFill>
                                      </w14:textFill>
                                    </w:rPr>
                                    <w:t>面向</w:t>
                                  </w:r>
                                  <w:r>
                                    <w:rPr>
                                      <w:rFonts w:hint="eastAsia" w:ascii="微软雅黑" w:hAnsi="微软雅黑" w:eastAsia="微软雅黑"/>
                                      <w:color w:val="000000" w:themeColor="text1"/>
                                      <w:sz w:val="18"/>
                                      <w:szCs w:val="18"/>
                                      <w14:textFill>
                                        <w14:solidFill>
                                          <w14:schemeClr w14:val="tx1"/>
                                        </w14:solidFill>
                                      </w14:textFill>
                                    </w:rPr>
                                    <w:t>对象程序设计）</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ascii="微软雅黑" w:hAnsi="微软雅黑" w:eastAsia="微软雅黑" w:cs="宋体"/>
                                      <w:color w:val="000000" w:themeColor="text1"/>
                                      <w:sz w:val="20"/>
                                      <w:szCs w:val="20"/>
                                      <w14:textFill>
                                        <w14:solidFill>
                                          <w14:schemeClr w14:val="tx1"/>
                                        </w14:solidFill>
                                      </w14:textFill>
                                    </w:rPr>
                                    <w:t>3</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数字逻辑</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2</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离散数学</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3</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计算机组成原理</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3.5</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3</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信号与系统</w:t>
                                  </w:r>
                                </w:p>
                              </w:tc>
                              <w:tc>
                                <w:tcPr>
                                  <w:tcW w:w="838"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48</w:t>
                                  </w:r>
                                </w:p>
                              </w:tc>
                              <w:tc>
                                <w:tcPr>
                                  <w:tcW w:w="838"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24</w:t>
                                  </w:r>
                                </w:p>
                              </w:tc>
                              <w:tc>
                                <w:tcPr>
                                  <w:tcW w:w="838"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3</w:t>
                                  </w:r>
                                </w:p>
                              </w:tc>
                              <w:tc>
                                <w:tcPr>
                                  <w:tcW w:w="838" w:type="dxa"/>
                                </w:tcPr>
                                <w:p>
                                  <w:pPr>
                                    <w:jc w:val="center"/>
                                    <w:rPr>
                                      <w:rFonts w:ascii="微软雅黑" w:hAnsi="微软雅黑" w:eastAsia="微软雅黑" w:cs="宋体"/>
                                      <w:color w:val="FF0000"/>
                                      <w:sz w:val="20"/>
                                      <w:szCs w:val="20"/>
                                    </w:rPr>
                                  </w:pPr>
                                  <w:r>
                                    <w:rPr>
                                      <w:rFonts w:hint="eastAsia" w:ascii="微软雅黑" w:hAnsi="微软雅黑" w:eastAsia="微软雅黑" w:cs="宋体"/>
                                      <w:color w:val="FF0000"/>
                                      <w:sz w:val="20"/>
                                      <w:szCs w:val="20"/>
                                    </w:rPr>
                                    <w:t>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操作系统</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数据结构</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72</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4.5</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bl>
                          <w:p>
                            <w:pPr>
                              <w:rPr>
                                <w:rFonts w:eastAsiaTheme="minorEastAsia"/>
                              </w:rPr>
                            </w:pPr>
                          </w:p>
                          <w:p>
                            <w:pPr>
                              <w:widowControl w:val="0"/>
                              <w:numPr>
                                <w:ilvl w:val="0"/>
                                <w:numId w:val="6"/>
                              </w:numPr>
                              <w:spacing w:after="0" w:line="288" w:lineRule="auto"/>
                              <w:ind w:firstLine="480" w:firstLineChars="200"/>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专业主干课</w:t>
                            </w:r>
                          </w:p>
                          <w:tbl>
                            <w:tblPr>
                              <w:tblStyle w:val="8"/>
                              <w:tblW w:w="941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2"/>
                              <w:gridCol w:w="844"/>
                              <w:gridCol w:w="844"/>
                              <w:gridCol w:w="844"/>
                              <w:gridCol w:w="844"/>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519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bookmarkStart w:id="2" w:name="_Hlk13759882"/>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88"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519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44"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机器学习</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人工智能导论</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算法分析与设计</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最优化方法</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智能机器人</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机器视觉及应用</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模式识别</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2.5</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bl>
                          <w:p>
                            <w:pPr>
                              <w:rPr>
                                <w:rFonts w:eastAsiaTheme="minorEastAsia"/>
                              </w:rPr>
                            </w:pPr>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700.7pt;width:473pt;" fillcolor="#FFFFFF" filled="t" stroked="t" coordsize="21600,21600" o:gfxdata="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0jCdhtUAAAAG&#10;AQAADwAAAAAAAAABACAAAAAiAAAAZHJzL2Rvd25yZXYueG1sUEsBAhQAFAAAAAgAh07iQFfd3Lof&#10;AgAALgQAAA4AAAAAAAAAAQAgAAAAJAEAAGRycy9lMm9Eb2MueG1sUEsFBgAAAAAGAAYAWQEAALUF&#10;AAAAAA==&#10;">
                <v:fill on="t" focussize="0,0"/>
                <v:stroke color="#000000" miterlimit="8" joinstyle="miter"/>
                <v:imagedata o:title=""/>
                <o:lock v:ext="edit" aspectratio="f"/>
                <v:textbox>
                  <w:txbxContent>
                    <w:p>
                      <w:pPr>
                        <w:spacing w:line="480" w:lineRule="auto"/>
                        <w:ind w:firstLine="480" w:firstLineChars="200"/>
                        <w:rPr>
                          <w:rFonts w:ascii="宋体" w:cs="Times New Roman"/>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学科专业课程模块</w:t>
                      </w:r>
                    </w:p>
                    <w:p>
                      <w:pPr>
                        <w:spacing w:line="288" w:lineRule="auto"/>
                        <w:ind w:firstLine="480" w:firstLineChars="200"/>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）学科基础课</w:t>
                      </w:r>
                    </w:p>
                    <w:tbl>
                      <w:tblPr>
                        <w:tblStyle w:val="8"/>
                        <w:tblW w:w="93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5"/>
                        <w:gridCol w:w="838"/>
                        <w:gridCol w:w="838"/>
                        <w:gridCol w:w="838"/>
                        <w:gridCol w:w="838"/>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515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76"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38"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5155"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8"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38"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8"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8"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计算机程序设计基础</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72</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4.5</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1</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人工智能程序设计（</w:t>
                            </w:r>
                            <w:r>
                              <w:rPr>
                                <w:rFonts w:ascii="微软雅黑" w:hAnsi="微软雅黑" w:eastAsia="微软雅黑"/>
                                <w:color w:val="000000" w:themeColor="text1"/>
                                <w:sz w:val="18"/>
                                <w:szCs w:val="18"/>
                                <w14:textFill>
                                  <w14:solidFill>
                                    <w14:schemeClr w14:val="tx1"/>
                                  </w14:solidFill>
                                </w14:textFill>
                              </w:rPr>
                              <w:t>面向</w:t>
                            </w:r>
                            <w:r>
                              <w:rPr>
                                <w:rFonts w:hint="eastAsia" w:ascii="微软雅黑" w:hAnsi="微软雅黑" w:eastAsia="微软雅黑"/>
                                <w:color w:val="000000" w:themeColor="text1"/>
                                <w:sz w:val="18"/>
                                <w:szCs w:val="18"/>
                                <w14:textFill>
                                  <w14:solidFill>
                                    <w14:schemeClr w14:val="tx1"/>
                                  </w14:solidFill>
                                </w14:textFill>
                              </w:rPr>
                              <w:t>对象程序设计）</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ascii="微软雅黑" w:hAnsi="微软雅黑" w:eastAsia="微软雅黑" w:cs="宋体"/>
                                <w:color w:val="000000" w:themeColor="text1"/>
                                <w:sz w:val="20"/>
                                <w:szCs w:val="20"/>
                                <w14:textFill>
                                  <w14:solidFill>
                                    <w14:schemeClr w14:val="tx1"/>
                                  </w14:solidFill>
                                </w14:textFill>
                              </w:rPr>
                              <w:t>3</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数字逻辑</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2</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离散数学</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3</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计算机组成原理</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3.5</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3</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信号与系统</w:t>
                            </w:r>
                          </w:p>
                        </w:tc>
                        <w:tc>
                          <w:tcPr>
                            <w:tcW w:w="838"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48</w:t>
                            </w:r>
                          </w:p>
                        </w:tc>
                        <w:tc>
                          <w:tcPr>
                            <w:tcW w:w="838"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24</w:t>
                            </w:r>
                          </w:p>
                        </w:tc>
                        <w:tc>
                          <w:tcPr>
                            <w:tcW w:w="838" w:type="dxa"/>
                            <w:vAlign w:val="center"/>
                          </w:tcPr>
                          <w:p>
                            <w:pPr>
                              <w:jc w:val="center"/>
                              <w:rPr>
                                <w:rFonts w:ascii="微软雅黑" w:hAnsi="微软雅黑" w:eastAsia="微软雅黑" w:cs="宋体"/>
                                <w:color w:val="FF0000"/>
                                <w:sz w:val="24"/>
                                <w:szCs w:val="24"/>
                              </w:rPr>
                            </w:pPr>
                            <w:r>
                              <w:rPr>
                                <w:rFonts w:hint="eastAsia" w:ascii="微软雅黑" w:hAnsi="微软雅黑" w:eastAsia="微软雅黑"/>
                                <w:color w:val="FF0000"/>
                                <w:sz w:val="18"/>
                                <w:szCs w:val="18"/>
                              </w:rPr>
                              <w:t>3</w:t>
                            </w:r>
                          </w:p>
                        </w:tc>
                        <w:tc>
                          <w:tcPr>
                            <w:tcW w:w="838" w:type="dxa"/>
                          </w:tcPr>
                          <w:p>
                            <w:pPr>
                              <w:jc w:val="center"/>
                              <w:rPr>
                                <w:rFonts w:ascii="微软雅黑" w:hAnsi="微软雅黑" w:eastAsia="微软雅黑" w:cs="宋体"/>
                                <w:color w:val="FF0000"/>
                                <w:sz w:val="20"/>
                                <w:szCs w:val="20"/>
                              </w:rPr>
                            </w:pPr>
                            <w:r>
                              <w:rPr>
                                <w:rFonts w:hint="eastAsia" w:ascii="微软雅黑" w:hAnsi="微软雅黑" w:eastAsia="微软雅黑" w:cs="宋体"/>
                                <w:color w:val="FF0000"/>
                                <w:sz w:val="20"/>
                                <w:szCs w:val="20"/>
                              </w:rPr>
                              <w:t>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操作系统</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515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数据结构</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72</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4.5</w:t>
                            </w:r>
                          </w:p>
                        </w:tc>
                        <w:tc>
                          <w:tcPr>
                            <w:tcW w:w="838" w:type="dxa"/>
                          </w:tcPr>
                          <w:p>
                            <w:pPr>
                              <w:jc w:val="center"/>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4</w:t>
                            </w:r>
                          </w:p>
                        </w:tc>
                        <w:tc>
                          <w:tcPr>
                            <w:tcW w:w="83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bl>
                    <w:p>
                      <w:pPr>
                        <w:rPr>
                          <w:rFonts w:eastAsiaTheme="minorEastAsia"/>
                        </w:rPr>
                      </w:pPr>
                    </w:p>
                    <w:p>
                      <w:pPr>
                        <w:widowControl w:val="0"/>
                        <w:numPr>
                          <w:ilvl w:val="0"/>
                          <w:numId w:val="6"/>
                        </w:numPr>
                        <w:spacing w:after="0" w:line="288" w:lineRule="auto"/>
                        <w:ind w:firstLine="480" w:firstLineChars="200"/>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专业主干课</w:t>
                      </w:r>
                    </w:p>
                    <w:tbl>
                      <w:tblPr>
                        <w:tblStyle w:val="8"/>
                        <w:tblW w:w="941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2"/>
                        <w:gridCol w:w="844"/>
                        <w:gridCol w:w="844"/>
                        <w:gridCol w:w="844"/>
                        <w:gridCol w:w="844"/>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519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bookmarkStart w:id="2" w:name="_Hlk13759882"/>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88"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519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44"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机器学习</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人工智能导论</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算法分析与设计</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最优化方法</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智能机器人</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机器视觉及应用</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模式识别</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2.5</w:t>
                            </w:r>
                          </w:p>
                        </w:tc>
                        <w:tc>
                          <w:tcPr>
                            <w:tcW w:w="844"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5</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bl>
                    <w:p>
                      <w:pPr>
                        <w:rPr>
                          <w:rFonts w:eastAsiaTheme="minorEastAsia"/>
                        </w:rPr>
                      </w:pPr>
                    </w:p>
                  </w:txbxContent>
                </v:textbox>
                <w10:wrap type="none"/>
                <w10:anchorlock/>
              </v:shape>
            </w:pict>
          </mc:Fallback>
        </mc:AlternateContent>
      </w:r>
    </w:p>
    <w:p>
      <w:pPr>
        <w:rPr>
          <w:rFonts w:eastAsiaTheme="minorEastAsia"/>
        </w:rPr>
      </w:pPr>
      <w:r>
        <w:rPr>
          <w:rFonts w:eastAsiaTheme="minorEastAsia"/>
        </w:rPr>
        <mc:AlternateContent>
          <mc:Choice Requires="wps">
            <w:drawing>
              <wp:inline distT="0" distB="0" distL="0" distR="0">
                <wp:extent cx="6049645" cy="8920480"/>
                <wp:effectExtent l="0" t="0" r="27305" b="13970"/>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49925" cy="8920716"/>
                        </a:xfrm>
                        <a:prstGeom prst="rect">
                          <a:avLst/>
                        </a:prstGeom>
                        <a:solidFill>
                          <a:srgbClr val="FFFFFF"/>
                        </a:solidFill>
                        <a:ln w="9525">
                          <a:solidFill>
                            <a:srgbClr val="000000"/>
                          </a:solidFill>
                          <a:miter lim="800000"/>
                        </a:ln>
                      </wps:spPr>
                      <wps:txbx>
                        <w:txbxContent>
                          <w:p>
                            <w:pPr>
                              <w:widowControl w:val="0"/>
                              <w:numPr>
                                <w:ilvl w:val="0"/>
                                <w:numId w:val="6"/>
                              </w:numPr>
                              <w:spacing w:after="0" w:line="288" w:lineRule="auto"/>
                              <w:ind w:firstLine="480" w:firstLineChars="200"/>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专业选修课</w:t>
                            </w:r>
                          </w:p>
                          <w:tbl>
                            <w:tblPr>
                              <w:tblStyle w:val="8"/>
                              <w:tblW w:w="942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1"/>
                              <w:gridCol w:w="845"/>
                              <w:gridCol w:w="846"/>
                              <w:gridCol w:w="845"/>
                              <w:gridCol w:w="845"/>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5201"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91"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4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4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5201"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5"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45"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5"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5"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嵌入式智能系统</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工业机器人技术</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20"/>
                                      <w:szCs w:val="20"/>
                                      <w14:textFill>
                                        <w14:solidFill>
                                          <w14:schemeClr w14:val="tx1"/>
                                        </w14:solidFill>
                                      </w14:textFill>
                                    </w:rPr>
                                    <w:t>智能计算</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数据挖掘与大数据应用</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虚拟现实技术</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自然语言理解</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智能机器人系统</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智能传感器技术</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bl>
                          <w:p>
                            <w:pPr>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注：专业选修课学生至少选修8学分。</w:t>
                            </w:r>
                          </w:p>
                          <w:p>
                            <w:pPr>
                              <w:ind w:firstLine="560" w:firstLineChars="200"/>
                              <w:rPr>
                                <w:rFonts w:ascii="宋体" w:cs="Times New Roman"/>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（二）实践教学平台</w:t>
                            </w:r>
                          </w:p>
                          <w:p>
                            <w:pPr>
                              <w:spacing w:line="480" w:lineRule="auto"/>
                              <w:ind w:firstLine="488"/>
                              <w:rPr>
                                <w:rFonts w:ascii="宋体" w:cs="Times New Roman"/>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公共实践模块</w:t>
                            </w:r>
                          </w:p>
                          <w:tbl>
                            <w:tblPr>
                              <w:tblStyle w:val="8"/>
                              <w:tblW w:w="941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2"/>
                              <w:gridCol w:w="844"/>
                              <w:gridCol w:w="844"/>
                              <w:gridCol w:w="844"/>
                              <w:gridCol w:w="632"/>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19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88"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632" w:type="dxa"/>
                                  <w:vMerge w:val="restart"/>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105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19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44"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63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军事技能训练</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112</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体质健康测试</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0.5</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分4次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心理健康测试</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0.5</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分4次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公益劳动</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学术周活动</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第二课堂学分(除学术周活动以外)</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全年</w:t>
                                  </w:r>
                                </w:p>
                              </w:tc>
                            </w:tr>
                          </w:tbl>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702.4pt;width:476.35pt;" fillcolor="#FFFFFF" filled="t" stroked="t" coordsize="21600,21600" o:gfxdata="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5p3cQNcAAAAG&#10;AQAADwAAAAAAAAABACAAAAAiAAAAZHJzL2Rvd25yZXYueG1sUEsBAhQAFAAAAAgAh07iQM62qJYd&#10;AgAALgQAAA4AAAAAAAAAAQAgAAAAJgEAAGRycy9lMm9Eb2MueG1sUEsFBgAAAAAGAAYAWQEAALUF&#10;AAAAAA==&#10;">
                <v:fill on="t" focussize="0,0"/>
                <v:stroke color="#000000" miterlimit="8" joinstyle="miter"/>
                <v:imagedata o:title=""/>
                <o:lock v:ext="edit" aspectratio="f"/>
                <v:textbox>
                  <w:txbxContent>
                    <w:p>
                      <w:pPr>
                        <w:widowControl w:val="0"/>
                        <w:numPr>
                          <w:ilvl w:val="0"/>
                          <w:numId w:val="6"/>
                        </w:numPr>
                        <w:spacing w:after="0" w:line="288" w:lineRule="auto"/>
                        <w:ind w:firstLine="480" w:firstLineChars="200"/>
                        <w:jc w:val="both"/>
                        <w:rPr>
                          <w:rFonts w:ascii="宋体" w:cs="Times New Roman"/>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专业选修课</w:t>
                      </w:r>
                    </w:p>
                    <w:tbl>
                      <w:tblPr>
                        <w:tblStyle w:val="8"/>
                        <w:tblW w:w="942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1"/>
                        <w:gridCol w:w="845"/>
                        <w:gridCol w:w="846"/>
                        <w:gridCol w:w="845"/>
                        <w:gridCol w:w="845"/>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5201"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91"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4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45"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5201"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5"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45"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5"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5"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嵌入式智能系统</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工业机器人技术</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20"/>
                                <w:szCs w:val="20"/>
                                <w14:textFill>
                                  <w14:solidFill>
                                    <w14:schemeClr w14:val="tx1"/>
                                  </w14:solidFill>
                                </w14:textFill>
                              </w:rPr>
                              <w:t>智能计算</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数据挖掘与大数据应用</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虚拟现实技术</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自然语言理解</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智能机器人系统</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520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智能传感器技术</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w:t>
                            </w:r>
                          </w:p>
                        </w:tc>
                        <w:tc>
                          <w:tcPr>
                            <w:tcW w:w="8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6</w:t>
                            </w:r>
                          </w:p>
                        </w:tc>
                        <w:tc>
                          <w:tcPr>
                            <w:tcW w:w="84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bl>
                    <w:p>
                      <w:pPr>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注：专业选修课学生至少选修8学分。</w:t>
                      </w:r>
                    </w:p>
                    <w:p>
                      <w:pPr>
                        <w:ind w:firstLine="560" w:firstLineChars="200"/>
                        <w:rPr>
                          <w:rFonts w:ascii="宋体" w:cs="Times New Roman"/>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（二）实践教学平台</w:t>
                      </w:r>
                    </w:p>
                    <w:p>
                      <w:pPr>
                        <w:spacing w:line="480" w:lineRule="auto"/>
                        <w:ind w:firstLine="488"/>
                        <w:rPr>
                          <w:rFonts w:ascii="宋体" w:cs="Times New Roman"/>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公共实践模块</w:t>
                      </w:r>
                    </w:p>
                    <w:tbl>
                      <w:tblPr>
                        <w:tblStyle w:val="8"/>
                        <w:tblW w:w="941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2"/>
                        <w:gridCol w:w="844"/>
                        <w:gridCol w:w="844"/>
                        <w:gridCol w:w="844"/>
                        <w:gridCol w:w="632"/>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192"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88"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4"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632" w:type="dxa"/>
                            <w:vMerge w:val="restart"/>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105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19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44"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44"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632"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军事技能训练</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112</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体质健康测试</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0.5</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分4次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心理健康测试</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0.5</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分4次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公益劳动</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学术周活动</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19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第二课堂学分(除学术周活动以外)</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p>
                        </w:tc>
                        <w:tc>
                          <w:tcPr>
                            <w:tcW w:w="844"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632" w:type="dxa"/>
                          </w:tcPr>
                          <w:p>
                            <w:pPr>
                              <w:jc w:val="center"/>
                              <w:rPr>
                                <w:rFonts w:ascii="微软雅黑" w:hAnsi="微软雅黑" w:eastAsia="微软雅黑" w:cs="宋体"/>
                                <w:color w:val="000000" w:themeColor="text1"/>
                                <w:sz w:val="24"/>
                                <w:szCs w:val="24"/>
                                <w14:textFill>
                                  <w14:solidFill>
                                    <w14:schemeClr w14:val="tx1"/>
                                  </w14:solidFill>
                                </w14:textFill>
                              </w:rPr>
                            </w:pPr>
                          </w:p>
                        </w:tc>
                        <w:tc>
                          <w:tcPr>
                            <w:tcW w:w="105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全年</w:t>
                            </w:r>
                          </w:p>
                        </w:tc>
                      </w:tr>
                    </w:tbl>
                    <w:p/>
                  </w:txbxContent>
                </v:textbox>
                <w10:wrap type="none"/>
                <w10:anchorlock/>
              </v:shape>
            </w:pict>
          </mc:Fallback>
        </mc:AlternateContent>
      </w:r>
    </w:p>
    <w:p>
      <w:pPr>
        <w:rPr>
          <w:rFonts w:eastAsiaTheme="minorEastAsia"/>
        </w:rPr>
      </w:pPr>
      <w:r>
        <w:rPr>
          <w:rFonts w:eastAsiaTheme="minorEastAsia"/>
        </w:rPr>
        <mc:AlternateContent>
          <mc:Choice Requires="wps">
            <w:drawing>
              <wp:inline distT="0" distB="0" distL="0" distR="0">
                <wp:extent cx="5996305" cy="8952230"/>
                <wp:effectExtent l="0" t="0" r="23495" b="20320"/>
                <wp:docPr id="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996762" cy="8952614"/>
                        </a:xfrm>
                        <a:prstGeom prst="rect">
                          <a:avLst/>
                        </a:prstGeom>
                        <a:solidFill>
                          <a:srgbClr val="FFFFFF"/>
                        </a:solidFill>
                        <a:ln w="9525">
                          <a:solidFill>
                            <a:srgbClr val="000000"/>
                          </a:solidFill>
                          <a:miter lim="800000"/>
                        </a:ln>
                      </wps:spPr>
                      <wps:txbx>
                        <w:txbxContent>
                          <w:p>
                            <w:pPr>
                              <w:spacing w:line="360" w:lineRule="auto"/>
                              <w:ind w:firstLine="480" w:firstLineChars="200"/>
                              <w:rPr>
                                <w:rFonts w:ascii="宋体" w:cs="Times New Roman"/>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专业实践模块</w:t>
                            </w:r>
                          </w:p>
                          <w:p>
                            <w:pPr>
                              <w:spacing w:line="288" w:lineRule="auto"/>
                              <w:ind w:firstLine="488"/>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）实验</w:t>
                            </w:r>
                            <w:r>
                              <w:rPr>
                                <w:rFonts w:hint="eastAsia" w:ascii="宋体" w:hAnsi="宋体" w:cs="宋体"/>
                                <w:color w:val="000000" w:themeColor="text1"/>
                                <w:sz w:val="24"/>
                                <w:szCs w:val="24"/>
                                <w14:textFill>
                                  <w14:solidFill>
                                    <w14:schemeClr w14:val="tx1"/>
                                  </w14:solidFill>
                                </w14:textFill>
                              </w:rPr>
                              <w:t>（不包括公共基础课、学科基础课中的实验课程；其他单独设置的实验课应列举于此。）</w:t>
                            </w:r>
                          </w:p>
                          <w:tbl>
                            <w:tblPr>
                              <w:tblStyle w:val="8"/>
                              <w:tblW w:w="932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6"/>
                              <w:gridCol w:w="836"/>
                              <w:gridCol w:w="837"/>
                              <w:gridCol w:w="836"/>
                              <w:gridCol w:w="836"/>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514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bookmarkStart w:id="3" w:name="_Hlk7131135"/>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73"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6" w:type="dxa"/>
                                  <w:vMerge w:val="restart"/>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3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514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3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36"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51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Align w:val="center"/>
                                </w:tcPr>
                                <w:p>
                                  <w:pPr>
                                    <w:jc w:val="center"/>
                                    <w:rPr>
                                      <w:rFonts w:ascii="微软雅黑" w:hAnsi="微软雅黑" w:eastAsia="微软雅黑" w:cs="宋体"/>
                                      <w:b/>
                                      <w:bCs/>
                                      <w:color w:val="000000" w:themeColor="text1"/>
                                      <w:sz w:val="24"/>
                                      <w:szCs w:val="24"/>
                                      <w14:textFill>
                                        <w14:solidFill>
                                          <w14:schemeClr w14:val="tx1"/>
                                        </w14:solidFill>
                                      </w14:textFill>
                                    </w:rPr>
                                  </w:pPr>
                                </w:p>
                              </w:tc>
                              <w:tc>
                                <w:tcPr>
                                  <w:tcW w:w="836" w:type="dxa"/>
                                </w:tcPr>
                                <w:p>
                                  <w:pPr>
                                    <w:jc w:val="center"/>
                                    <w:rPr>
                                      <w:rFonts w:ascii="微软雅黑" w:hAnsi="微软雅黑" w:eastAsia="微软雅黑" w:cs="宋体"/>
                                      <w:color w:val="000000" w:themeColor="text1"/>
                                      <w:sz w:val="21"/>
                                      <w:szCs w:val="21"/>
                                      <w14:textFill>
                                        <w14:solidFill>
                                          <w14:schemeClr w14:val="tx1"/>
                                        </w14:solidFill>
                                      </w14:textFill>
                                    </w:rPr>
                                  </w:pPr>
                                </w:p>
                              </w:tc>
                              <w:tc>
                                <w:tcPr>
                                  <w:tcW w:w="83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bookmarkEnd w:id="3"/>
                          </w:tbl>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）实训</w:t>
                            </w:r>
                            <w:r>
                              <w:rPr>
                                <w:rFonts w:hint="eastAsia" w:ascii="宋体" w:hAnsi="宋体" w:cs="宋体"/>
                                <w:color w:val="000000" w:themeColor="text1"/>
                                <w:sz w:val="24"/>
                                <w:szCs w:val="24"/>
                                <w14:textFill>
                                  <w14:solidFill>
                                    <w14:schemeClr w14:val="tx1"/>
                                  </w14:solidFill>
                                </w14:textFill>
                              </w:rPr>
                              <w:t>（指测绘实训、课程设计、课程论文、学年论文等校内实训环节。鼓励以学时为单位安排。）</w:t>
                            </w:r>
                          </w:p>
                          <w:tbl>
                            <w:tblPr>
                              <w:tblStyle w:val="8"/>
                              <w:tblW w:w="931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2"/>
                              <w:gridCol w:w="835"/>
                              <w:gridCol w:w="835"/>
                              <w:gridCol w:w="835"/>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5"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计算机程序设计基础课程设计</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数字逻辑课程设计</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数据库原理软件基础综合设计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大一暑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计算机组成原理课程设计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操作系统课程设计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大二暑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数据结构课程设计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大二暑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数据库原理与应用课程设计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数字图像处理综合训练</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大三暑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模式识别课程设计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创新创业实训（Python</w:t>
                                  </w:r>
                                  <w:r>
                                    <w:rPr>
                                      <w:rFonts w:ascii="微软雅黑" w:hAnsi="微软雅黑" w:eastAsia="微软雅黑"/>
                                      <w:color w:val="000000" w:themeColor="text1"/>
                                      <w:sz w:val="18"/>
                                      <w:szCs w:val="18"/>
                                      <w14:textFill>
                                        <w14:solidFill>
                                          <w14:schemeClr w14:val="tx1"/>
                                        </w14:solidFill>
                                      </w14:textFill>
                                    </w:rPr>
                                    <w:t>语言</w:t>
                                  </w:r>
                                  <w:r>
                                    <w:rPr>
                                      <w:rFonts w:hint="eastAsia" w:ascii="微软雅黑" w:hAnsi="微软雅黑" w:eastAsia="微软雅黑"/>
                                      <w:color w:val="000000" w:themeColor="text1"/>
                                      <w:sz w:val="18"/>
                                      <w:szCs w:val="18"/>
                                      <w14:textFill>
                                        <w14:solidFill>
                                          <w14:schemeClr w14:val="tx1"/>
                                        </w14:solidFill>
                                      </w14:textFill>
                                    </w:rPr>
                                    <w:t>）</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7</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机器学习实训</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7</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r>
                          </w:tbl>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704.9pt;width:472.15pt;" fillcolor="#FFFFFF" filled="t" stroked="t" coordsize="21600,21600" o:gfxdata="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1tGJtYAAAAG&#10;AQAADwAAAAAAAAABACAAAAAiAAAAZHJzL2Rvd25yZXYueG1sUEsBAhQAFAAAAAgAh07iQFaF8yge&#10;AgAALgQAAA4AAAAAAAAAAQAgAAAAJQEAAGRycy9lMm9Eb2MueG1sUEsFBgAAAAAGAAYAWQEAALUF&#10;AAAAAA==&#10;">
                <v:fill on="t" focussize="0,0"/>
                <v:stroke color="#000000" miterlimit="8" joinstyle="miter"/>
                <v:imagedata o:title=""/>
                <o:lock v:ext="edit" aspectratio="f"/>
                <v:textbox>
                  <w:txbxContent>
                    <w:p>
                      <w:pPr>
                        <w:spacing w:line="360" w:lineRule="auto"/>
                        <w:ind w:firstLine="480" w:firstLineChars="200"/>
                        <w:rPr>
                          <w:rFonts w:ascii="宋体" w:cs="Times New Roman"/>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专业实践模块</w:t>
                      </w:r>
                    </w:p>
                    <w:p>
                      <w:pPr>
                        <w:spacing w:line="288" w:lineRule="auto"/>
                        <w:ind w:firstLine="488"/>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）实验</w:t>
                      </w:r>
                      <w:r>
                        <w:rPr>
                          <w:rFonts w:hint="eastAsia" w:ascii="宋体" w:hAnsi="宋体" w:cs="宋体"/>
                          <w:color w:val="000000" w:themeColor="text1"/>
                          <w:sz w:val="24"/>
                          <w:szCs w:val="24"/>
                          <w14:textFill>
                            <w14:solidFill>
                              <w14:schemeClr w14:val="tx1"/>
                            </w14:solidFill>
                          </w14:textFill>
                        </w:rPr>
                        <w:t>（不包括公共基础课、学科基础课中的实验课程；其他单独设置的实验课应列举于此。）</w:t>
                      </w:r>
                    </w:p>
                    <w:tbl>
                      <w:tblPr>
                        <w:tblStyle w:val="8"/>
                        <w:tblW w:w="932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6"/>
                        <w:gridCol w:w="836"/>
                        <w:gridCol w:w="837"/>
                        <w:gridCol w:w="836"/>
                        <w:gridCol w:w="836"/>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514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bookmarkStart w:id="3" w:name="_Hlk7131135"/>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1673" w:type="dxa"/>
                            <w:gridSpan w:val="2"/>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6" w:type="dxa"/>
                            <w:vMerge w:val="restart"/>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36" w:type="dxa"/>
                            <w:vMerge w:val="restart"/>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514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课内</w:t>
                            </w:r>
                          </w:p>
                        </w:tc>
                        <w:tc>
                          <w:tcPr>
                            <w:tcW w:w="83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课外</w:t>
                            </w:r>
                          </w:p>
                        </w:tc>
                        <w:tc>
                          <w:tcPr>
                            <w:tcW w:w="836" w:type="dxa"/>
                            <w:vMerge w:val="continue"/>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Merge w:val="continue"/>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514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c>
                          <w:tcPr>
                            <w:tcW w:w="836" w:type="dxa"/>
                            <w:vAlign w:val="center"/>
                          </w:tcPr>
                          <w:p>
                            <w:pPr>
                              <w:jc w:val="center"/>
                              <w:rPr>
                                <w:rFonts w:ascii="微软雅黑" w:hAnsi="微软雅黑" w:eastAsia="微软雅黑" w:cs="宋体"/>
                                <w:b/>
                                <w:bCs/>
                                <w:color w:val="000000" w:themeColor="text1"/>
                                <w:sz w:val="24"/>
                                <w:szCs w:val="24"/>
                                <w14:textFill>
                                  <w14:solidFill>
                                    <w14:schemeClr w14:val="tx1"/>
                                  </w14:solidFill>
                                </w14:textFill>
                              </w:rPr>
                            </w:pPr>
                          </w:p>
                        </w:tc>
                        <w:tc>
                          <w:tcPr>
                            <w:tcW w:w="836" w:type="dxa"/>
                          </w:tcPr>
                          <w:p>
                            <w:pPr>
                              <w:jc w:val="center"/>
                              <w:rPr>
                                <w:rFonts w:ascii="微软雅黑" w:hAnsi="微软雅黑" w:eastAsia="微软雅黑" w:cs="宋体"/>
                                <w:color w:val="000000" w:themeColor="text1"/>
                                <w:sz w:val="21"/>
                                <w:szCs w:val="21"/>
                                <w14:textFill>
                                  <w14:solidFill>
                                    <w14:schemeClr w14:val="tx1"/>
                                  </w14:solidFill>
                                </w14:textFill>
                              </w:rPr>
                            </w:pPr>
                          </w:p>
                        </w:tc>
                        <w:tc>
                          <w:tcPr>
                            <w:tcW w:w="836"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p>
                        </w:tc>
                      </w:tr>
                      <w:bookmarkEnd w:id="3"/>
                    </w:tbl>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）实训</w:t>
                      </w:r>
                      <w:r>
                        <w:rPr>
                          <w:rFonts w:hint="eastAsia" w:ascii="宋体" w:hAnsi="宋体" w:cs="宋体"/>
                          <w:color w:val="000000" w:themeColor="text1"/>
                          <w:sz w:val="24"/>
                          <w:szCs w:val="24"/>
                          <w14:textFill>
                            <w14:solidFill>
                              <w14:schemeClr w14:val="tx1"/>
                            </w14:solidFill>
                          </w14:textFill>
                        </w:rPr>
                        <w:t>（指测绘实训、课程设计、课程论文、学年论文等校内实训环节。鼓励以学时为单位安排。）</w:t>
                      </w:r>
                    </w:p>
                    <w:tbl>
                      <w:tblPr>
                        <w:tblStyle w:val="8"/>
                        <w:tblW w:w="931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2"/>
                        <w:gridCol w:w="835"/>
                        <w:gridCol w:w="835"/>
                        <w:gridCol w:w="835"/>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8"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5"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计算机程序设计基础课程设计</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数字逻辑课程设计</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数据库原理软件基础综合设计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大一暑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计算机组成原理课程设计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操作系统课程设计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大二暑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数据结构课程设计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大二暑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数据库原理与应用课程设计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数字图像处理综合训练</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大三暑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模式识别课程设计</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p>
                        </w:tc>
                        <w:tc>
                          <w:tcPr>
                            <w:tcW w:w="835"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创新创业实训（Python</w:t>
                            </w:r>
                            <w:r>
                              <w:rPr>
                                <w:rFonts w:ascii="微软雅黑" w:hAnsi="微软雅黑" w:eastAsia="微软雅黑"/>
                                <w:color w:val="000000" w:themeColor="text1"/>
                                <w:sz w:val="18"/>
                                <w:szCs w:val="18"/>
                                <w14:textFill>
                                  <w14:solidFill>
                                    <w14:schemeClr w14:val="tx1"/>
                                  </w14:solidFill>
                                </w14:textFill>
                              </w:rPr>
                              <w:t>语言</w:t>
                            </w:r>
                            <w:r>
                              <w:rPr>
                                <w:rFonts w:hint="eastAsia" w:ascii="微软雅黑" w:hAnsi="微软雅黑" w:eastAsia="微软雅黑"/>
                                <w:color w:val="000000" w:themeColor="text1"/>
                                <w:sz w:val="18"/>
                                <w:szCs w:val="18"/>
                                <w14:textFill>
                                  <w14:solidFill>
                                    <w14:schemeClr w14:val="tx1"/>
                                  </w14:solidFill>
                                </w14:textFill>
                              </w:rPr>
                              <w:t>）</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7</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5972"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机器学习实训</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32</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7</w:t>
                            </w:r>
                          </w:p>
                        </w:tc>
                        <w:tc>
                          <w:tcPr>
                            <w:tcW w:w="835"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r>
                    </w:tbl>
                    <w:p/>
                  </w:txbxContent>
                </v:textbox>
                <w10:wrap type="none"/>
                <w10:anchorlock/>
              </v:shape>
            </w:pict>
          </mc:Fallback>
        </mc:AlternateContent>
      </w:r>
    </w:p>
    <w:p>
      <w:pPr>
        <w:rPr>
          <w:rFonts w:eastAsiaTheme="minorEastAsia"/>
        </w:rPr>
      </w:pPr>
      <w:r>
        <mc:AlternateContent>
          <mc:Choice Requires="wps">
            <w:drawing>
              <wp:inline distT="0" distB="0" distL="0" distR="0">
                <wp:extent cx="6060440" cy="8952230"/>
                <wp:effectExtent l="0" t="0" r="16510" b="20320"/>
                <wp:docPr id="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60558" cy="8952614"/>
                        </a:xfrm>
                        <a:prstGeom prst="rect">
                          <a:avLst/>
                        </a:prstGeom>
                        <a:solidFill>
                          <a:srgbClr val="FFFFFF"/>
                        </a:solidFill>
                        <a:ln w="9525">
                          <a:solidFill>
                            <a:srgbClr val="000000"/>
                          </a:solidFill>
                          <a:miter lim="800000"/>
                        </a:ln>
                      </wps:spPr>
                      <wps:txbx>
                        <w:txbxContent>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3</w:t>
                            </w:r>
                            <w:r>
                              <w:rPr>
                                <w:rFonts w:hint="eastAsia" w:ascii="宋体" w:hAnsi="宋体" w:cs="宋体"/>
                                <w:b/>
                                <w:bCs/>
                                <w:color w:val="000000" w:themeColor="text1"/>
                                <w:sz w:val="24"/>
                                <w:szCs w:val="24"/>
                                <w14:textFill>
                                  <w14:solidFill>
                                    <w14:schemeClr w14:val="tx1"/>
                                  </w14:solidFill>
                                </w14:textFill>
                              </w:rPr>
                              <w:t>）实习</w:t>
                            </w:r>
                            <w:r>
                              <w:rPr>
                                <w:rFonts w:hint="eastAsia" w:ascii="宋体" w:hAnsi="宋体" w:cs="宋体"/>
                                <w:color w:val="000000" w:themeColor="text1"/>
                                <w:sz w:val="24"/>
                                <w:szCs w:val="24"/>
                                <w14:textFill>
                                  <w14:solidFill>
                                    <w14:schemeClr w14:val="tx1"/>
                                  </w14:solidFill>
                                </w14:textFill>
                              </w:rPr>
                              <w:t>（指认识实习、生产实习、专业实习、民俗采风等外出集中实习环节，不包括毕业实习。以周为单位安排。）</w:t>
                            </w:r>
                          </w:p>
                          <w:tbl>
                            <w:tblPr>
                              <w:tblStyle w:val="8"/>
                              <w:tblW w:w="947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9"/>
                              <w:gridCol w:w="850"/>
                              <w:gridCol w:w="850"/>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6079"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50"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6079"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专业实习</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4周</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bl>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4</w:t>
                            </w:r>
                            <w:r>
                              <w:rPr>
                                <w:rFonts w:hint="eastAsia" w:ascii="宋体" w:hAnsi="宋体" w:cs="宋体"/>
                                <w:b/>
                                <w:bCs/>
                                <w:color w:val="000000" w:themeColor="text1"/>
                                <w:sz w:val="24"/>
                                <w:szCs w:val="24"/>
                                <w14:textFill>
                                  <w14:solidFill>
                                    <w14:schemeClr w14:val="tx1"/>
                                  </w14:solidFill>
                                </w14:textFill>
                              </w:rPr>
                              <w:t>）毕业实践</w:t>
                            </w:r>
                            <w:r>
                              <w:rPr>
                                <w:rFonts w:hint="eastAsia" w:ascii="宋体" w:hAnsi="宋体" w:cs="宋体"/>
                                <w:color w:val="000000" w:themeColor="text1"/>
                                <w:sz w:val="24"/>
                                <w:szCs w:val="24"/>
                                <w14:textFill>
                                  <w14:solidFill>
                                    <w14:schemeClr w14:val="tx1"/>
                                  </w14:solidFill>
                                </w14:textFill>
                              </w:rPr>
                              <w:t>（总学时不超过</w:t>
                            </w:r>
                            <w:r>
                              <w:rPr>
                                <w:rFonts w:ascii="宋体" w:hAnsi="宋体" w:cs="宋体"/>
                                <w:color w:val="000000" w:themeColor="text1"/>
                                <w:sz w:val="24"/>
                                <w:szCs w:val="24"/>
                                <w14:textFill>
                                  <w14:solidFill>
                                    <w14:schemeClr w14:val="tx1"/>
                                  </w14:solidFill>
                                </w14:textFill>
                              </w:rPr>
                              <w:t>16</w:t>
                            </w:r>
                            <w:r>
                              <w:rPr>
                                <w:rFonts w:hint="eastAsia" w:ascii="宋体" w:hAnsi="宋体" w:cs="宋体"/>
                                <w:color w:val="000000" w:themeColor="text1"/>
                                <w:sz w:val="24"/>
                                <w:szCs w:val="24"/>
                                <w14:textFill>
                                  <w14:solidFill>
                                    <w14:schemeClr w14:val="tx1"/>
                                  </w14:solidFill>
                                </w14:textFill>
                              </w:rPr>
                              <w:t>周，每</w:t>
                            </w: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周计</w:t>
                            </w: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个学分。）</w:t>
                            </w:r>
                          </w:p>
                          <w:tbl>
                            <w:tblPr>
                              <w:tblStyle w:val="8"/>
                              <w:tblW w:w="944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8"/>
                              <w:gridCol w:w="847"/>
                              <w:gridCol w:w="847"/>
                              <w:gridCol w:w="847"/>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47"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毕业实习</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16周</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7"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毕业设计（论文）</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4周</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7"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毕业设计（论文）</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12周</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w:t>
                                  </w:r>
                                </w:p>
                              </w:tc>
                              <w:tc>
                                <w:tcPr>
                                  <w:tcW w:w="847"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8</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bl>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（以上实践季特指暑期实践季。实践环节如安排在暑期实践季，需注明大一、大二或大三暑期实践季。）</w:t>
                            </w:r>
                          </w:p>
                          <w:p>
                            <w:pPr>
                              <w:spacing w:line="500" w:lineRule="exact"/>
                              <w:ind w:firstLine="560" w:firstLineChars="200"/>
                              <w:rPr>
                                <w:rFonts w:ascii="宋体" w:cs="Times New Roman"/>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（三）创新创业与素质教育平台</w:t>
                            </w:r>
                          </w:p>
                          <w:p>
                            <w:pPr>
                              <w:spacing w:line="360" w:lineRule="auto"/>
                              <w:ind w:firstLine="480" w:firstLineChars="200"/>
                              <w:rPr>
                                <w:rFonts w:ascii="宋体" w:cs="Times New Roman"/>
                                <w:b/>
                                <w:bCs/>
                                <w:color w:val="000000" w:themeColor="text1"/>
                                <w:sz w:val="28"/>
                                <w:szCs w:val="28"/>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素质实践模块</w:t>
                            </w:r>
                          </w:p>
                          <w:tbl>
                            <w:tblPr>
                              <w:tblStyle w:val="8"/>
                              <w:tblW w:w="951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7"/>
                              <w:gridCol w:w="851"/>
                              <w:gridCol w:w="851"/>
                              <w:gridCol w:w="851"/>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610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军事技能训练</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112</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w:t>
                                  </w:r>
                                </w:p>
                              </w:tc>
                              <w:tc>
                                <w:tcPr>
                                  <w:tcW w:w="851" w:type="dxa"/>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1</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8</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0.5</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2</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3</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6</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4</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7</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1</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8</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0.5</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2</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3</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4</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6</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7"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公益劳动</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32</w:t>
                                  </w:r>
                                  <w:r>
                                    <w:rPr>
                                      <w:rFonts w:hint="eastAsia" w:ascii="微软雅黑" w:hAnsi="微软雅黑" w:eastAsia="微软雅黑" w:cs="宋体"/>
                                      <w:color w:val="000000" w:themeColor="text1"/>
                                      <w:sz w:val="18"/>
                                      <w:szCs w:val="18"/>
                                      <w14:textFill>
                                        <w14:solidFill>
                                          <w14:schemeClr w14:val="tx1"/>
                                        </w14:solidFill>
                                      </w14:textFill>
                                    </w:rPr>
                                    <w:t>学时</w:t>
                                  </w:r>
                                </w:p>
                              </w:tc>
                              <w:tc>
                                <w:tcPr>
                                  <w:tcW w:w="85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1-4</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w:t>
                                  </w:r>
                                </w:p>
                              </w:tc>
                            </w:tr>
                          </w:tbl>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704.9pt;width:477.2pt;" fillcolor="#FFFFFF" filled="t" stroked="t" coordsize="21600,21600" o:gfxdata="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7rH2tYAAAAG&#10;AQAADwAAAAAAAAABACAAAAAiAAAAZHJzL2Rvd25yZXYueG1sUEsBAhQAFAAAAAgAh07iQKv9Z7ke&#10;AgAALgQAAA4AAAAAAAAAAQAgAAAAJQEAAGRycy9lMm9Eb2MueG1sUEsFBgAAAAAGAAYAWQEAALUF&#10;AAAAAA==&#10;">
                <v:fill on="t" focussize="0,0"/>
                <v:stroke color="#000000" miterlimit="8" joinstyle="miter"/>
                <v:imagedata o:title=""/>
                <o:lock v:ext="edit" aspectratio="f"/>
                <v:textbox>
                  <w:txbxContent>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3</w:t>
                      </w:r>
                      <w:r>
                        <w:rPr>
                          <w:rFonts w:hint="eastAsia" w:ascii="宋体" w:hAnsi="宋体" w:cs="宋体"/>
                          <w:b/>
                          <w:bCs/>
                          <w:color w:val="000000" w:themeColor="text1"/>
                          <w:sz w:val="24"/>
                          <w:szCs w:val="24"/>
                          <w14:textFill>
                            <w14:solidFill>
                              <w14:schemeClr w14:val="tx1"/>
                            </w14:solidFill>
                          </w14:textFill>
                        </w:rPr>
                        <w:t>）实习</w:t>
                      </w:r>
                      <w:r>
                        <w:rPr>
                          <w:rFonts w:hint="eastAsia" w:ascii="宋体" w:hAnsi="宋体" w:cs="宋体"/>
                          <w:color w:val="000000" w:themeColor="text1"/>
                          <w:sz w:val="24"/>
                          <w:szCs w:val="24"/>
                          <w14:textFill>
                            <w14:solidFill>
                              <w14:schemeClr w14:val="tx1"/>
                            </w14:solidFill>
                          </w14:textFill>
                        </w:rPr>
                        <w:t>（指认识实习、生产实习、专业实习、民俗采风等外出集中实习环节，不包括毕业实习。以周为单位安排。）</w:t>
                      </w:r>
                    </w:p>
                    <w:tbl>
                      <w:tblPr>
                        <w:tblStyle w:val="8"/>
                        <w:tblW w:w="947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9"/>
                        <w:gridCol w:w="850"/>
                        <w:gridCol w:w="850"/>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6079"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50"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6079"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专业实习</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4周</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w:t>
                            </w:r>
                          </w:p>
                        </w:tc>
                        <w:tc>
                          <w:tcPr>
                            <w:tcW w:w="850"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6</w:t>
                            </w:r>
                          </w:p>
                        </w:tc>
                        <w:tc>
                          <w:tcPr>
                            <w:tcW w:w="850"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春夏</w:t>
                            </w:r>
                          </w:p>
                        </w:tc>
                      </w:tr>
                    </w:tbl>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w:t>
                      </w:r>
                      <w:r>
                        <w:rPr>
                          <w:rFonts w:ascii="宋体" w:hAnsi="宋体" w:cs="宋体"/>
                          <w:b/>
                          <w:bCs/>
                          <w:color w:val="000000" w:themeColor="text1"/>
                          <w:sz w:val="24"/>
                          <w:szCs w:val="24"/>
                          <w14:textFill>
                            <w14:solidFill>
                              <w14:schemeClr w14:val="tx1"/>
                            </w14:solidFill>
                          </w14:textFill>
                        </w:rPr>
                        <w:t>4</w:t>
                      </w:r>
                      <w:r>
                        <w:rPr>
                          <w:rFonts w:hint="eastAsia" w:ascii="宋体" w:hAnsi="宋体" w:cs="宋体"/>
                          <w:b/>
                          <w:bCs/>
                          <w:color w:val="000000" w:themeColor="text1"/>
                          <w:sz w:val="24"/>
                          <w:szCs w:val="24"/>
                          <w14:textFill>
                            <w14:solidFill>
                              <w14:schemeClr w14:val="tx1"/>
                            </w14:solidFill>
                          </w14:textFill>
                        </w:rPr>
                        <w:t>）毕业实践</w:t>
                      </w:r>
                      <w:r>
                        <w:rPr>
                          <w:rFonts w:hint="eastAsia" w:ascii="宋体" w:hAnsi="宋体" w:cs="宋体"/>
                          <w:color w:val="000000" w:themeColor="text1"/>
                          <w:sz w:val="24"/>
                          <w:szCs w:val="24"/>
                          <w14:textFill>
                            <w14:solidFill>
                              <w14:schemeClr w14:val="tx1"/>
                            </w14:solidFill>
                          </w14:textFill>
                        </w:rPr>
                        <w:t>（总学时不超过</w:t>
                      </w:r>
                      <w:r>
                        <w:rPr>
                          <w:rFonts w:ascii="宋体" w:hAnsi="宋体" w:cs="宋体"/>
                          <w:color w:val="000000" w:themeColor="text1"/>
                          <w:sz w:val="24"/>
                          <w:szCs w:val="24"/>
                          <w14:textFill>
                            <w14:solidFill>
                              <w14:schemeClr w14:val="tx1"/>
                            </w14:solidFill>
                          </w14:textFill>
                        </w:rPr>
                        <w:t>16</w:t>
                      </w:r>
                      <w:r>
                        <w:rPr>
                          <w:rFonts w:hint="eastAsia" w:ascii="宋体" w:hAnsi="宋体" w:cs="宋体"/>
                          <w:color w:val="000000" w:themeColor="text1"/>
                          <w:sz w:val="24"/>
                          <w:szCs w:val="24"/>
                          <w14:textFill>
                            <w14:solidFill>
                              <w14:schemeClr w14:val="tx1"/>
                            </w14:solidFill>
                          </w14:textFill>
                        </w:rPr>
                        <w:t>周，每</w:t>
                      </w: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周计</w:t>
                      </w: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个学分。）</w:t>
                      </w:r>
                    </w:p>
                    <w:tbl>
                      <w:tblPr>
                        <w:tblStyle w:val="8"/>
                        <w:tblW w:w="944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8"/>
                        <w:gridCol w:w="847"/>
                        <w:gridCol w:w="847"/>
                        <w:gridCol w:w="847"/>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47" w:type="dxa"/>
                            <w:tcMar>
                              <w:left w:w="0" w:type="dxa"/>
                              <w:right w:w="0" w:type="dxa"/>
                            </w:tcMar>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学期</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实践季</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毕业实习</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16周</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0</w:t>
                            </w:r>
                          </w:p>
                        </w:tc>
                        <w:tc>
                          <w:tcPr>
                            <w:tcW w:w="847"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秋冬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毕业设计（论文）</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4周</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p>
                        </w:tc>
                        <w:tc>
                          <w:tcPr>
                            <w:tcW w:w="847"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7</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6058"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毕业设计（论文）</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12周</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6</w:t>
                            </w:r>
                          </w:p>
                        </w:tc>
                        <w:tc>
                          <w:tcPr>
                            <w:tcW w:w="847"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8</w:t>
                            </w:r>
                          </w:p>
                        </w:tc>
                        <w:tc>
                          <w:tcPr>
                            <w:tcW w:w="84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春夏</w:t>
                            </w:r>
                          </w:p>
                        </w:tc>
                      </w:tr>
                    </w:tbl>
                    <w:p>
                      <w:pPr>
                        <w:spacing w:line="288" w:lineRule="auto"/>
                        <w:ind w:firstLine="480" w:firstLineChars="200"/>
                        <w:rPr>
                          <w:rFonts w:ascii="宋体" w:cs="Times New Roman"/>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（以上实践季特指暑期实践季。实践环节如安排在暑期实践季，需注明大一、大二或大三暑期实践季。）</w:t>
                      </w:r>
                    </w:p>
                    <w:p>
                      <w:pPr>
                        <w:spacing w:line="500" w:lineRule="exact"/>
                        <w:ind w:firstLine="560" w:firstLineChars="200"/>
                        <w:rPr>
                          <w:rFonts w:ascii="宋体" w:cs="Times New Roman"/>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（三）创新创业与素质教育平台</w:t>
                      </w:r>
                    </w:p>
                    <w:p>
                      <w:pPr>
                        <w:spacing w:line="360" w:lineRule="auto"/>
                        <w:ind w:firstLine="480" w:firstLineChars="200"/>
                        <w:rPr>
                          <w:rFonts w:ascii="宋体" w:cs="Times New Roman"/>
                          <w:b/>
                          <w:bCs/>
                          <w:color w:val="000000" w:themeColor="text1"/>
                          <w:sz w:val="28"/>
                          <w:szCs w:val="28"/>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素质实践模块</w:t>
                      </w:r>
                    </w:p>
                    <w:tbl>
                      <w:tblPr>
                        <w:tblStyle w:val="8"/>
                        <w:tblW w:w="951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7"/>
                        <w:gridCol w:w="851"/>
                        <w:gridCol w:w="851"/>
                        <w:gridCol w:w="851"/>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6107"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5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军事技能训练</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112</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w:t>
                            </w:r>
                          </w:p>
                        </w:tc>
                        <w:tc>
                          <w:tcPr>
                            <w:tcW w:w="851" w:type="dxa"/>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1</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8</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0.5</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2</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3</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6</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体质健康测试（</w:t>
                            </w:r>
                            <w:r>
                              <w:rPr>
                                <w:rFonts w:ascii="微软雅黑" w:hAnsi="微软雅黑" w:eastAsia="微软雅黑" w:cs="宋体"/>
                                <w:color w:val="000000" w:themeColor="text1"/>
                                <w:sz w:val="18"/>
                                <w:szCs w:val="18"/>
                                <w14:textFill>
                                  <w14:solidFill>
                                    <w14:schemeClr w14:val="tx1"/>
                                  </w14:solidFill>
                                </w14:textFill>
                              </w:rPr>
                              <w:t>4</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vAlign w:val="center"/>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7</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1</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8</w:t>
                            </w:r>
                          </w:p>
                        </w:tc>
                        <w:tc>
                          <w:tcPr>
                            <w:tcW w:w="851" w:type="dxa"/>
                            <w:vMerge w:val="restart"/>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0.5</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2</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2</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3</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4</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心理健康测试（</w:t>
                            </w:r>
                            <w:r>
                              <w:rPr>
                                <w:rFonts w:ascii="微软雅黑" w:hAnsi="微软雅黑" w:eastAsia="微软雅黑" w:cs="宋体"/>
                                <w:color w:val="000000" w:themeColor="text1"/>
                                <w:sz w:val="18"/>
                                <w:szCs w:val="18"/>
                                <w14:textFill>
                                  <w14:solidFill>
                                    <w14:schemeClr w14:val="tx1"/>
                                  </w14:solidFill>
                                </w14:textFill>
                              </w:rPr>
                              <w:t>4</w:t>
                            </w:r>
                            <w:r>
                              <w:rPr>
                                <w:rFonts w:hint="eastAsia" w:ascii="微软雅黑" w:hAnsi="微软雅黑" w:eastAsia="微软雅黑" w:cs="宋体"/>
                                <w:color w:val="000000" w:themeColor="text1"/>
                                <w:sz w:val="18"/>
                                <w:szCs w:val="18"/>
                                <w14:textFill>
                                  <w14:solidFill>
                                    <w14:schemeClr w14:val="tx1"/>
                                  </w14:solidFill>
                                </w14:textFill>
                              </w:rPr>
                              <w:t>）</w:t>
                            </w: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Merge w:val="continue"/>
                          </w:tcPr>
                          <w:p>
                            <w:pPr>
                              <w:jc w:val="center"/>
                              <w:rPr>
                                <w:rFonts w:ascii="微软雅黑" w:hAnsi="微软雅黑" w:eastAsia="微软雅黑" w:cs="宋体"/>
                                <w:color w:val="000000" w:themeColor="text1"/>
                                <w:sz w:val="18"/>
                                <w:szCs w:val="18"/>
                                <w14:textFill>
                                  <w14:solidFill>
                                    <w14:schemeClr w14:val="tx1"/>
                                  </w14:solidFill>
                                </w14:textFill>
                              </w:rPr>
                            </w:pP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6</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7" w:hRule="atLeast"/>
                        </w:trPr>
                        <w:tc>
                          <w:tcPr>
                            <w:tcW w:w="6107" w:type="dxa"/>
                            <w:vAlign w:val="center"/>
                          </w:tcPr>
                          <w:p>
                            <w:pPr>
                              <w:adjustRightInd w:val="0"/>
                              <w:snapToGrid w:val="0"/>
                              <w:ind w:right="-75" w:rightChars="-34"/>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公益劳动</w:t>
                            </w:r>
                          </w:p>
                        </w:tc>
                        <w:tc>
                          <w:tcPr>
                            <w:tcW w:w="851" w:type="dxa"/>
                          </w:tcPr>
                          <w:p>
                            <w:pPr>
                              <w:jc w:val="center"/>
                              <w:rPr>
                                <w:rFonts w:ascii="微软雅黑" w:hAnsi="微软雅黑" w:eastAsia="微软雅黑" w:cs="宋体"/>
                                <w:color w:val="000000" w:themeColor="text1"/>
                                <w:sz w:val="18"/>
                                <w:szCs w:val="18"/>
                                <w14:textFill>
                                  <w14:solidFill>
                                    <w14:schemeClr w14:val="tx1"/>
                                  </w14:solidFill>
                                </w14:textFill>
                              </w:rPr>
                            </w:pPr>
                            <w:r>
                              <w:rPr>
                                <w:rFonts w:hint="eastAsia" w:ascii="微软雅黑" w:hAnsi="微软雅黑" w:eastAsia="微软雅黑" w:cs="宋体"/>
                                <w:color w:val="000000" w:themeColor="text1"/>
                                <w:sz w:val="18"/>
                                <w:szCs w:val="18"/>
                                <w14:textFill>
                                  <w14:solidFill>
                                    <w14:schemeClr w14:val="tx1"/>
                                  </w14:solidFill>
                                </w14:textFill>
                              </w:rPr>
                              <w:t>≧</w:t>
                            </w:r>
                            <w:r>
                              <w:rPr>
                                <w:rFonts w:ascii="微软雅黑" w:hAnsi="微软雅黑" w:eastAsia="微软雅黑" w:cs="宋体"/>
                                <w:color w:val="000000" w:themeColor="text1"/>
                                <w:sz w:val="18"/>
                                <w:szCs w:val="18"/>
                                <w14:textFill>
                                  <w14:solidFill>
                                    <w14:schemeClr w14:val="tx1"/>
                                  </w14:solidFill>
                                </w14:textFill>
                              </w:rPr>
                              <w:t>32</w:t>
                            </w:r>
                            <w:r>
                              <w:rPr>
                                <w:rFonts w:hint="eastAsia" w:ascii="微软雅黑" w:hAnsi="微软雅黑" w:eastAsia="微软雅黑" w:cs="宋体"/>
                                <w:color w:val="000000" w:themeColor="text1"/>
                                <w:sz w:val="18"/>
                                <w:szCs w:val="18"/>
                                <w14:textFill>
                                  <w14:solidFill>
                                    <w14:schemeClr w14:val="tx1"/>
                                  </w14:solidFill>
                                </w14:textFill>
                              </w:rPr>
                              <w:t>学时</w:t>
                            </w:r>
                          </w:p>
                        </w:tc>
                        <w:tc>
                          <w:tcPr>
                            <w:tcW w:w="851" w:type="dxa"/>
                            <w:vAlign w:val="center"/>
                          </w:tcPr>
                          <w:p>
                            <w:pPr>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1-4</w:t>
                            </w:r>
                          </w:p>
                        </w:tc>
                        <w:tc>
                          <w:tcPr>
                            <w:tcW w:w="851" w:type="dxa"/>
                            <w:vAlign w:val="center"/>
                          </w:tcPr>
                          <w:p>
                            <w:pPr>
                              <w:adjustRightInd w:val="0"/>
                              <w:snapToGrid w:val="0"/>
                              <w:spacing w:line="300" w:lineRule="exact"/>
                              <w:ind w:right="-84" w:rightChars="-38"/>
                              <w:jc w:val="center"/>
                              <w:rPr>
                                <w:rFonts w:ascii="微软雅黑" w:hAnsi="微软雅黑" w:eastAsia="微软雅黑" w:cs="宋体"/>
                                <w:color w:val="000000" w:themeColor="text1"/>
                                <w:sz w:val="18"/>
                                <w:szCs w:val="18"/>
                                <w14:textFill>
                                  <w14:solidFill>
                                    <w14:schemeClr w14:val="tx1"/>
                                  </w14:solidFill>
                                </w14:textFill>
                              </w:rPr>
                            </w:pPr>
                            <w:r>
                              <w:rPr>
                                <w:rFonts w:ascii="微软雅黑" w:hAnsi="微软雅黑" w:eastAsia="微软雅黑" w:cs="宋体"/>
                                <w:color w:val="000000" w:themeColor="text1"/>
                                <w:sz w:val="18"/>
                                <w:szCs w:val="18"/>
                                <w14:textFill>
                                  <w14:solidFill>
                                    <w14:schemeClr w14:val="tx1"/>
                                  </w14:solidFill>
                                </w14:textFill>
                              </w:rPr>
                              <w:t>--</w:t>
                            </w:r>
                          </w:p>
                        </w:tc>
                      </w:tr>
                    </w:tbl>
                    <w:p/>
                  </w:txbxContent>
                </v:textbox>
                <w10:wrap type="none"/>
                <w10:anchorlock/>
              </v:shape>
            </w:pict>
          </mc:Fallback>
        </mc:AlternateContent>
      </w:r>
    </w:p>
    <w:p>
      <w:pPr>
        <w:rPr>
          <w:rFonts w:ascii="微软雅黑" w:hAnsi="微软雅黑" w:eastAsia="微软雅黑" w:cs="微软雅黑"/>
          <w:sz w:val="36"/>
        </w:rPr>
      </w:pPr>
      <w:r>
        <mc:AlternateContent>
          <mc:Choice Requires="wps">
            <w:drawing>
              <wp:inline distT="0" distB="0" distL="0" distR="0">
                <wp:extent cx="6017895" cy="8898890"/>
                <wp:effectExtent l="0" t="0" r="20955" b="16510"/>
                <wp:docPr id="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018028" cy="8899451"/>
                        </a:xfrm>
                        <a:prstGeom prst="rect">
                          <a:avLst/>
                        </a:prstGeom>
                        <a:solidFill>
                          <a:srgbClr val="FFFFFF"/>
                        </a:solidFill>
                        <a:ln w="9525">
                          <a:solidFill>
                            <a:srgbClr val="000000"/>
                          </a:solidFill>
                          <a:miter lim="800000"/>
                        </a:ln>
                      </wps:spPr>
                      <wps:txbx>
                        <w:txbxContent>
                          <w:p>
                            <w:pPr>
                              <w:spacing w:line="360" w:lineRule="auto"/>
                              <w:ind w:firstLine="480" w:firstLineChars="200"/>
                              <w:rPr>
                                <w:rFonts w:ascii="宋体" w:cs="Times New Roman"/>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创新学分</w:t>
                            </w:r>
                            <w:r>
                              <w:rPr>
                                <w:rFonts w:ascii="宋体" w:hAnsi="宋体" w:cs="宋体"/>
                                <w:b/>
                                <w:bCs/>
                                <w:color w:val="000000" w:themeColor="text1"/>
                                <w:sz w:val="24"/>
                                <w:szCs w:val="24"/>
                                <w14:textFill>
                                  <w14:solidFill>
                                    <w14:schemeClr w14:val="tx1"/>
                                  </w14:solidFill>
                                </w14:textFill>
                              </w:rPr>
                              <w:t>&amp;</w:t>
                            </w:r>
                            <w:r>
                              <w:rPr>
                                <w:rFonts w:hint="eastAsia" w:ascii="宋体" w:hAnsi="宋体" w:cs="宋体"/>
                                <w:b/>
                                <w:bCs/>
                                <w:color w:val="000000" w:themeColor="text1"/>
                                <w:sz w:val="24"/>
                                <w:szCs w:val="24"/>
                                <w14:textFill>
                                  <w14:solidFill>
                                    <w14:schemeClr w14:val="tx1"/>
                                  </w14:solidFill>
                                </w14:textFill>
                              </w:rPr>
                              <w:t>第二课堂模块</w:t>
                            </w:r>
                          </w:p>
                          <w:tbl>
                            <w:tblPr>
                              <w:tblStyle w:val="8"/>
                              <w:tblW w:w="939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5"/>
                              <w:gridCol w:w="835"/>
                              <w:gridCol w:w="835"/>
                              <w:gridCol w:w="835"/>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60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4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45" w:type="dxa"/>
                                  <w:vAlign w:val="center"/>
                                </w:tcPr>
                                <w:p>
                                  <w:pPr>
                                    <w:adjustRightInd w:val="0"/>
                                    <w:snapToGrid w:val="0"/>
                                    <w:ind w:right="-75" w:rightChars="-34"/>
                                    <w:jc w:val="center"/>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学术周活动</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3</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41"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6045" w:type="dxa"/>
                                  <w:vAlign w:val="center"/>
                                </w:tcPr>
                                <w:p>
                                  <w:pPr>
                                    <w:adjustRightInd w:val="0"/>
                                    <w:snapToGrid w:val="0"/>
                                    <w:ind w:right="-75" w:rightChars="-34"/>
                                    <w:jc w:val="center"/>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第二课堂活动</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w:t>
                                  </w:r>
                                  <w:r>
                                    <w:rPr>
                                      <w:rFonts w:ascii="微软雅黑" w:hAnsi="微软雅黑" w:eastAsia="微软雅黑" w:cs="宋体"/>
                                      <w:color w:val="000000" w:themeColor="text1"/>
                                      <w14:textFill>
                                        <w14:solidFill>
                                          <w14:schemeClr w14:val="tx1"/>
                                        </w14:solidFill>
                                      </w14:textFill>
                                    </w:rPr>
                                    <w:t>4</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41"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r>
                          </w:tbl>
                          <w:p>
                            <w:pPr>
                              <w:widowControl w:val="0"/>
                              <w:spacing w:after="0" w:line="240" w:lineRule="auto"/>
                              <w:jc w:val="both"/>
                              <w:rPr>
                                <w:rFonts w:ascii="黑体" w:hAnsi="黑体" w:eastAsia="黑体" w:cs="黑体"/>
                                <w:b/>
                                <w:bCs/>
                                <w:color w:val="000000" w:themeColor="text1"/>
                                <w:sz w:val="28"/>
                                <w:szCs w:val="28"/>
                                <w14:textFill>
                                  <w14:solidFill>
                                    <w14:schemeClr w14:val="tx1"/>
                                  </w14:solidFill>
                                </w14:textFill>
                              </w:rPr>
                            </w:pPr>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700.7pt;width:473.85pt;" fillcolor="#FFFFFF" filled="t" stroked="t" coordsize="21600,21600" o:gfxdata="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n2ptI1gAAAAYB&#10;AAAPAAAAAAAAAAEAIAAAACIAAABkcnMvZG93bnJldi54bWxQSwECFAAUAAAACACHTuJAQb+/qB0C&#10;AAAuBAAADgAAAAAAAAABACAAAAAlAQAAZHJzL2Uyb0RvYy54bWxQSwUGAAAAAAYABgBZAQAAtAUA&#10;AAAA&#10;">
                <v:fill on="t" focussize="0,0"/>
                <v:stroke color="#000000" miterlimit="8" joinstyle="miter"/>
                <v:imagedata o:title=""/>
                <o:lock v:ext="edit" aspectratio="f"/>
                <v:textbox>
                  <w:txbxContent>
                    <w:p>
                      <w:pPr>
                        <w:spacing w:line="360" w:lineRule="auto"/>
                        <w:ind w:firstLine="480" w:firstLineChars="200"/>
                        <w:rPr>
                          <w:rFonts w:ascii="宋体" w:cs="Times New Roman"/>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创新学分</w:t>
                      </w:r>
                      <w:r>
                        <w:rPr>
                          <w:rFonts w:ascii="宋体" w:hAnsi="宋体" w:cs="宋体"/>
                          <w:b/>
                          <w:bCs/>
                          <w:color w:val="000000" w:themeColor="text1"/>
                          <w:sz w:val="24"/>
                          <w:szCs w:val="24"/>
                          <w14:textFill>
                            <w14:solidFill>
                              <w14:schemeClr w14:val="tx1"/>
                            </w14:solidFill>
                          </w14:textFill>
                        </w:rPr>
                        <w:t>&amp;</w:t>
                      </w:r>
                      <w:r>
                        <w:rPr>
                          <w:rFonts w:hint="eastAsia" w:ascii="宋体" w:hAnsi="宋体" w:cs="宋体"/>
                          <w:b/>
                          <w:bCs/>
                          <w:color w:val="000000" w:themeColor="text1"/>
                          <w:sz w:val="24"/>
                          <w:szCs w:val="24"/>
                          <w14:textFill>
                            <w14:solidFill>
                              <w14:schemeClr w14:val="tx1"/>
                            </w14:solidFill>
                          </w14:textFill>
                        </w:rPr>
                        <w:t>第二课堂模块</w:t>
                      </w:r>
                    </w:p>
                    <w:tbl>
                      <w:tblPr>
                        <w:tblStyle w:val="8"/>
                        <w:tblW w:w="939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5"/>
                        <w:gridCol w:w="835"/>
                        <w:gridCol w:w="835"/>
                        <w:gridCol w:w="835"/>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604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课程名称</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学时</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学分</w:t>
                            </w:r>
                          </w:p>
                        </w:tc>
                        <w:tc>
                          <w:tcPr>
                            <w:tcW w:w="835"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学期</w:t>
                            </w:r>
                          </w:p>
                        </w:tc>
                        <w:tc>
                          <w:tcPr>
                            <w:tcW w:w="841" w:type="dxa"/>
                            <w:vAlign w:val="center"/>
                          </w:tcPr>
                          <w:p>
                            <w:pPr>
                              <w:jc w:val="center"/>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学季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45" w:type="dxa"/>
                            <w:vAlign w:val="center"/>
                          </w:tcPr>
                          <w:p>
                            <w:pPr>
                              <w:adjustRightInd w:val="0"/>
                              <w:snapToGrid w:val="0"/>
                              <w:ind w:right="-75" w:rightChars="-34"/>
                              <w:jc w:val="center"/>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学术周活动</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3</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41"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6045" w:type="dxa"/>
                            <w:vAlign w:val="center"/>
                          </w:tcPr>
                          <w:p>
                            <w:pPr>
                              <w:adjustRightInd w:val="0"/>
                              <w:snapToGrid w:val="0"/>
                              <w:ind w:right="-75" w:rightChars="-34"/>
                              <w:jc w:val="center"/>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第二课堂活动</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w:t>
                            </w:r>
                            <w:r>
                              <w:rPr>
                                <w:rFonts w:ascii="微软雅黑" w:hAnsi="微软雅黑" w:eastAsia="微软雅黑" w:cs="宋体"/>
                                <w:color w:val="000000" w:themeColor="text1"/>
                                <w14:textFill>
                                  <w14:solidFill>
                                    <w14:schemeClr w14:val="tx1"/>
                                  </w14:solidFill>
                                </w14:textFill>
                              </w:rPr>
                              <w:t>4</w:t>
                            </w:r>
                          </w:p>
                        </w:tc>
                        <w:tc>
                          <w:tcPr>
                            <w:tcW w:w="835"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c>
                          <w:tcPr>
                            <w:tcW w:w="841" w:type="dxa"/>
                          </w:tcPr>
                          <w:p>
                            <w:pPr>
                              <w:jc w:val="center"/>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tc>
                      </w:tr>
                    </w:tbl>
                    <w:p>
                      <w:pPr>
                        <w:widowControl w:val="0"/>
                        <w:spacing w:after="0" w:line="240" w:lineRule="auto"/>
                        <w:jc w:val="both"/>
                        <w:rPr>
                          <w:rFonts w:ascii="黑体" w:hAnsi="黑体" w:eastAsia="黑体" w:cs="黑体"/>
                          <w:b/>
                          <w:bCs/>
                          <w:color w:val="000000" w:themeColor="text1"/>
                          <w:sz w:val="28"/>
                          <w:szCs w:val="28"/>
                          <w14:textFill>
                            <w14:solidFill>
                              <w14:schemeClr w14:val="tx1"/>
                            </w14:solidFill>
                          </w14:textFill>
                        </w:rPr>
                      </w:pPr>
                    </w:p>
                  </w:txbxContent>
                </v:textbox>
                <w10:wrap type="none"/>
                <w10:anchorlock/>
              </v:shape>
            </w:pict>
          </mc:Fallback>
        </mc:AlternateContent>
      </w:r>
      <w:r>
        <w:br w:type="page"/>
      </w:r>
    </w:p>
    <w:p>
      <w:pPr>
        <w:pStyle w:val="3"/>
        <w:ind w:right="1980"/>
      </w:pPr>
      <w:r>
        <w:t xml:space="preserve">9.校内专业设置评议专家组意见表 </w:t>
      </w:r>
    </w:p>
    <w:p>
      <w:pPr>
        <w:spacing w:after="0"/>
        <w:ind w:left="77"/>
        <w:rPr>
          <w:rFonts w:ascii="微软雅黑" w:hAnsi="微软雅黑" w:eastAsia="微软雅黑"/>
        </w:rPr>
      </w:pPr>
      <w:r>
        <w:rPr>
          <w:rFonts w:ascii="微软雅黑" w:hAnsi="微软雅黑" w:eastAsia="微软雅黑" w:cs="Times New Roman"/>
          <w:sz w:val="24"/>
        </w:rPr>
        <w:t xml:space="preserve"> </w:t>
      </w:r>
    </w:p>
    <w:tbl>
      <w:tblPr>
        <w:tblStyle w:val="14"/>
        <w:tblW w:w="8806" w:type="dxa"/>
        <w:tblInd w:w="-31" w:type="dxa"/>
        <w:tblLayout w:type="fixed"/>
        <w:tblCellMar>
          <w:top w:w="33" w:type="dxa"/>
          <w:left w:w="106" w:type="dxa"/>
          <w:bottom w:w="0" w:type="dxa"/>
          <w:right w:w="115" w:type="dxa"/>
        </w:tblCellMar>
      </w:tblPr>
      <w:tblGrid>
        <w:gridCol w:w="3454"/>
        <w:gridCol w:w="2692"/>
        <w:gridCol w:w="2660"/>
      </w:tblGrid>
      <w:tr>
        <w:tblPrEx>
          <w:tblLayout w:type="fixed"/>
          <w:tblCellMar>
            <w:top w:w="33" w:type="dxa"/>
            <w:left w:w="106" w:type="dxa"/>
            <w:bottom w:w="0" w:type="dxa"/>
            <w:right w:w="115" w:type="dxa"/>
          </w:tblCellMar>
        </w:tblPrEx>
        <w:trPr>
          <w:trHeight w:val="1106" w:hRule="atLeast"/>
        </w:trPr>
        <w:tc>
          <w:tcPr>
            <w:tcW w:w="6146" w:type="dxa"/>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9"/>
              <w:jc w:val="center"/>
              <w:rPr>
                <w:rFonts w:ascii="微软雅黑" w:hAnsi="微软雅黑" w:eastAsia="微软雅黑"/>
              </w:rPr>
            </w:pPr>
            <w:r>
              <w:rPr>
                <w:rFonts w:ascii="微软雅黑" w:hAnsi="微软雅黑" w:eastAsia="微软雅黑" w:cs="微软雅黑"/>
                <w:sz w:val="24"/>
              </w:rPr>
              <w:t>总体判断拟开设专业是否可行</w:t>
            </w:r>
            <w:r>
              <w:rPr>
                <w:rFonts w:ascii="微软雅黑" w:hAnsi="微软雅黑" w:eastAsia="微软雅黑" w:cs="Times New Roman"/>
                <w:sz w:val="24"/>
              </w:rPr>
              <w:t xml:space="preserve"> </w:t>
            </w:r>
          </w:p>
        </w:tc>
        <w:tc>
          <w:tcPr>
            <w:tcW w:w="2660" w:type="dxa"/>
            <w:tcBorders>
              <w:top w:val="single" w:color="000000" w:sz="4" w:space="0"/>
              <w:left w:val="single" w:color="000000" w:sz="4" w:space="0"/>
              <w:bottom w:val="single" w:color="000000" w:sz="4" w:space="0"/>
              <w:right w:val="single" w:color="000000" w:sz="4" w:space="0"/>
            </w:tcBorders>
          </w:tcPr>
          <w:p>
            <w:pPr>
              <w:spacing w:after="128" w:line="240" w:lineRule="auto"/>
              <w:rPr>
                <w:rFonts w:ascii="微软雅黑" w:hAnsi="微软雅黑" w:eastAsia="微软雅黑"/>
              </w:rPr>
            </w:pPr>
            <w:r>
              <w:rPr>
                <w:rFonts w:ascii="微软雅黑" w:hAnsi="微软雅黑" w:eastAsia="微软雅黑" w:cs="Times New Roman"/>
                <w:sz w:val="24"/>
              </w:rPr>
              <w:t xml:space="preserve"> </w:t>
            </w:r>
          </w:p>
          <w:p>
            <w:pPr>
              <w:spacing w:after="0" w:line="240" w:lineRule="auto"/>
              <w:ind w:left="5"/>
              <w:jc w:val="center"/>
              <w:rPr>
                <w:rFonts w:ascii="微软雅黑" w:hAnsi="微软雅黑" w:eastAsia="微软雅黑"/>
              </w:rPr>
            </w:pPr>
            <w:r>
              <w:rPr>
                <w:rFonts w:hint="eastAsia" w:ascii="微软雅黑" w:hAnsi="微软雅黑" w:eastAsia="微软雅黑" w:cs="微软雅黑"/>
                <w:sz w:val="24"/>
              </w:rPr>
              <w:t>■</w:t>
            </w:r>
            <w:r>
              <w:rPr>
                <w:rFonts w:ascii="微软雅黑" w:hAnsi="微软雅黑" w:eastAsia="微软雅黑" w:cs="微软雅黑"/>
                <w:sz w:val="24"/>
              </w:rPr>
              <w:t>是</w:t>
            </w:r>
            <w:r>
              <w:rPr>
                <w:rFonts w:ascii="微软雅黑" w:hAnsi="微软雅黑" w:eastAsia="微软雅黑" w:cs="Times New Roman"/>
                <w:sz w:val="24"/>
              </w:rPr>
              <w:t xml:space="preserve">   </w:t>
            </w:r>
            <w:r>
              <w:rPr>
                <w:rFonts w:ascii="微软雅黑" w:hAnsi="微软雅黑" w:eastAsia="微软雅黑" w:cs="微软雅黑"/>
                <w:sz w:val="24"/>
              </w:rPr>
              <w:t>□否</w:t>
            </w:r>
            <w:r>
              <w:rPr>
                <w:rFonts w:ascii="微软雅黑" w:hAnsi="微软雅黑" w:eastAsia="微软雅黑" w:cs="Times New Roman"/>
                <w:sz w:val="24"/>
              </w:rPr>
              <w:t xml:space="preserve"> </w:t>
            </w:r>
          </w:p>
        </w:tc>
      </w:tr>
      <w:tr>
        <w:tblPrEx>
          <w:tblLayout w:type="fixed"/>
          <w:tblCellMar>
            <w:top w:w="33" w:type="dxa"/>
            <w:left w:w="106" w:type="dxa"/>
            <w:bottom w:w="0" w:type="dxa"/>
            <w:right w:w="115" w:type="dxa"/>
          </w:tblCellMar>
        </w:tblPrEx>
        <w:trPr>
          <w:trHeight w:val="7059" w:hRule="atLeast"/>
        </w:trPr>
        <w:tc>
          <w:tcPr>
            <w:tcW w:w="6146" w:type="dxa"/>
            <w:gridSpan w:val="2"/>
            <w:tcBorders>
              <w:top w:val="single" w:color="000000" w:sz="4" w:space="0"/>
              <w:left w:val="single" w:color="000000" w:sz="4" w:space="0"/>
              <w:bottom w:val="single" w:color="000000" w:sz="4" w:space="0"/>
              <w:right w:val="nil"/>
            </w:tcBorders>
          </w:tcPr>
          <w:p>
            <w:pPr>
              <w:spacing w:after="139" w:line="240" w:lineRule="auto"/>
              <w:ind w:left="2"/>
              <w:rPr>
                <w:rFonts w:ascii="微软雅黑" w:hAnsi="微软雅黑" w:eastAsia="微软雅黑"/>
              </w:rPr>
            </w:pPr>
            <w:r>
              <w:rPr>
                <w:rFonts w:ascii="微软雅黑" w:hAnsi="微软雅黑" w:eastAsia="微软雅黑" w:cs="微软雅黑"/>
                <w:sz w:val="24"/>
              </w:rPr>
              <w:t>理由：</w:t>
            </w:r>
            <w:r>
              <w:rPr>
                <w:rFonts w:ascii="微软雅黑" w:hAnsi="微软雅黑" w:eastAsia="微软雅黑" w:cs="Times New Roman"/>
                <w:sz w:val="24"/>
              </w:rPr>
              <w:t xml:space="preserve"> </w:t>
            </w:r>
          </w:p>
          <w:p>
            <w:pPr>
              <w:spacing w:after="141" w:line="240" w:lineRule="auto"/>
              <w:ind w:left="2"/>
              <w:rPr>
                <w:rFonts w:ascii="微软雅黑" w:hAnsi="微软雅黑" w:eastAsia="微软雅黑"/>
              </w:rPr>
            </w:pPr>
            <w:r>
              <w:rPr>
                <w:rFonts w:hint="eastAsia" w:ascii="微软雅黑" w:hAnsi="微软雅黑" w:eastAsia="微软雅黑" w:cs="Times New Roman"/>
                <w:sz w:val="24"/>
              </w:rPr>
              <w:t xml:space="preserve"> </w:t>
            </w:r>
            <w:r>
              <w:rPr>
                <w:rFonts w:ascii="微软雅黑" w:hAnsi="微软雅黑" w:eastAsia="微软雅黑" w:cs="Times New Roman"/>
                <w:sz w:val="24"/>
              </w:rPr>
              <w:t xml:space="preserve">    </w:t>
            </w:r>
          </w:p>
          <w:p>
            <w:pPr>
              <w:spacing w:after="139"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39"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41"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39"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39"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41"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39"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39"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0" w:line="240" w:lineRule="auto"/>
              <w:ind w:left="2"/>
              <w:rPr>
                <w:rFonts w:ascii="微软雅黑" w:hAnsi="微软雅黑" w:eastAsia="微软雅黑"/>
              </w:rPr>
            </w:pPr>
            <w:r>
              <w:rPr>
                <w:rFonts w:ascii="微软雅黑" w:hAnsi="微软雅黑" w:eastAsia="微软雅黑" w:cs="Times New Roman"/>
                <w:sz w:val="24"/>
              </w:rPr>
              <w:t xml:space="preserve"> </w:t>
            </w:r>
          </w:p>
        </w:tc>
        <w:tc>
          <w:tcPr>
            <w:tcW w:w="2660" w:type="dxa"/>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r>
      <w:tr>
        <w:tblPrEx>
          <w:tblLayout w:type="fixed"/>
          <w:tblCellMar>
            <w:top w:w="33" w:type="dxa"/>
            <w:left w:w="106" w:type="dxa"/>
            <w:bottom w:w="0" w:type="dxa"/>
            <w:right w:w="115" w:type="dxa"/>
          </w:tblCellMar>
        </w:tblPrEx>
        <w:trPr>
          <w:trHeight w:val="710" w:hRule="atLeast"/>
        </w:trPr>
        <w:tc>
          <w:tcPr>
            <w:tcW w:w="6146" w:type="dxa"/>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9"/>
              <w:jc w:val="center"/>
              <w:rPr>
                <w:rFonts w:ascii="微软雅黑" w:hAnsi="微软雅黑" w:eastAsia="微软雅黑"/>
              </w:rPr>
            </w:pPr>
            <w:r>
              <w:rPr>
                <w:rFonts w:ascii="微软雅黑" w:hAnsi="微软雅黑" w:eastAsia="微软雅黑" w:cs="微软雅黑"/>
                <w:sz w:val="24"/>
              </w:rPr>
              <w:t>拟招生人数与人才需求预测是否匹配</w:t>
            </w:r>
            <w:r>
              <w:rPr>
                <w:rFonts w:ascii="微软雅黑" w:hAnsi="微软雅黑" w:eastAsia="微软雅黑" w:cs="Times New Roman"/>
                <w:sz w:val="24"/>
              </w:rPr>
              <w:t xml:space="preserve"> </w:t>
            </w:r>
          </w:p>
        </w:tc>
        <w:tc>
          <w:tcPr>
            <w:tcW w:w="2660"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5"/>
              <w:jc w:val="center"/>
              <w:rPr>
                <w:rFonts w:ascii="微软雅黑" w:hAnsi="微软雅黑" w:eastAsia="微软雅黑"/>
              </w:rPr>
            </w:pPr>
            <w:r>
              <w:rPr>
                <w:rFonts w:hint="eastAsia" w:ascii="微软雅黑" w:hAnsi="微软雅黑" w:eastAsia="微软雅黑" w:cs="微软雅黑"/>
                <w:sz w:val="24"/>
              </w:rPr>
              <w:t>■</w:t>
            </w:r>
            <w:r>
              <w:rPr>
                <w:rFonts w:ascii="微软雅黑" w:hAnsi="微软雅黑" w:eastAsia="微软雅黑" w:cs="微软雅黑"/>
                <w:sz w:val="24"/>
              </w:rPr>
              <w:t>是</w:t>
            </w:r>
            <w:r>
              <w:rPr>
                <w:rFonts w:ascii="微软雅黑" w:hAnsi="微软雅黑" w:eastAsia="微软雅黑" w:cs="Times New Roman"/>
                <w:sz w:val="24"/>
              </w:rPr>
              <w:t xml:space="preserve">   </w:t>
            </w:r>
            <w:r>
              <w:rPr>
                <w:rFonts w:ascii="微软雅黑" w:hAnsi="微软雅黑" w:eastAsia="微软雅黑" w:cs="微软雅黑"/>
                <w:sz w:val="24"/>
              </w:rPr>
              <w:t>□否</w:t>
            </w:r>
            <w:r>
              <w:rPr>
                <w:rFonts w:ascii="微软雅黑" w:hAnsi="微软雅黑" w:eastAsia="微软雅黑" w:cs="Times New Roman"/>
                <w:sz w:val="24"/>
              </w:rPr>
              <w:t xml:space="preserve"> </w:t>
            </w:r>
          </w:p>
        </w:tc>
      </w:tr>
      <w:tr>
        <w:tblPrEx>
          <w:tblLayout w:type="fixed"/>
          <w:tblCellMar>
            <w:top w:w="33" w:type="dxa"/>
            <w:left w:w="106" w:type="dxa"/>
            <w:bottom w:w="0" w:type="dxa"/>
            <w:right w:w="115" w:type="dxa"/>
          </w:tblCellMar>
        </w:tblPrEx>
        <w:trPr>
          <w:trHeight w:val="451" w:hRule="atLeast"/>
        </w:trPr>
        <w:tc>
          <w:tcPr>
            <w:tcW w:w="3454"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微软雅黑" w:hAnsi="微软雅黑" w:eastAsia="微软雅黑"/>
              </w:rPr>
            </w:pPr>
            <w:r>
              <w:rPr>
                <w:rFonts w:ascii="微软雅黑" w:hAnsi="微软雅黑" w:eastAsia="微软雅黑" w:cs="微软雅黑"/>
                <w:sz w:val="24"/>
              </w:rPr>
              <w:t>本专业开设的基本条件是否符合教学质量国家标准</w:t>
            </w:r>
            <w:r>
              <w:rPr>
                <w:rFonts w:ascii="微软雅黑" w:hAnsi="微软雅黑" w:eastAsia="微软雅黑" w:cs="Times New Roman"/>
                <w:sz w:val="24"/>
              </w:rPr>
              <w:t xml:space="preserve"> </w:t>
            </w:r>
          </w:p>
        </w:tc>
        <w:tc>
          <w:tcPr>
            <w:tcW w:w="2692"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rPr>
            </w:pPr>
            <w:r>
              <w:rPr>
                <w:rFonts w:ascii="微软雅黑" w:hAnsi="微软雅黑" w:eastAsia="微软雅黑" w:cs="微软雅黑"/>
                <w:sz w:val="24"/>
              </w:rPr>
              <w:t>教师队伍</w:t>
            </w:r>
            <w:r>
              <w:rPr>
                <w:rFonts w:ascii="微软雅黑" w:hAnsi="微软雅黑" w:eastAsia="微软雅黑" w:cs="Times New Roman"/>
                <w:sz w:val="24"/>
              </w:rPr>
              <w:t xml:space="preserve"> </w:t>
            </w:r>
          </w:p>
        </w:tc>
        <w:tc>
          <w:tcPr>
            <w:tcW w:w="2660"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cs="微软雅黑"/>
                <w:sz w:val="24"/>
              </w:rPr>
              <w:t>■</w:t>
            </w:r>
            <w:r>
              <w:rPr>
                <w:rFonts w:ascii="微软雅黑" w:hAnsi="微软雅黑" w:eastAsia="微软雅黑" w:cs="微软雅黑"/>
                <w:sz w:val="24"/>
              </w:rPr>
              <w:t>是</w:t>
            </w:r>
            <w:r>
              <w:rPr>
                <w:rFonts w:ascii="微软雅黑" w:hAnsi="微软雅黑" w:eastAsia="微软雅黑" w:cs="Times New Roman"/>
                <w:sz w:val="24"/>
              </w:rPr>
              <w:t xml:space="preserve">   </w:t>
            </w:r>
            <w:r>
              <w:rPr>
                <w:rFonts w:ascii="微软雅黑" w:hAnsi="微软雅黑" w:eastAsia="微软雅黑" w:cs="微软雅黑"/>
                <w:sz w:val="24"/>
              </w:rPr>
              <w:t>□否</w:t>
            </w:r>
            <w:r>
              <w:rPr>
                <w:rFonts w:ascii="微软雅黑" w:hAnsi="微软雅黑" w:eastAsia="微软雅黑" w:cs="Times New Roman"/>
                <w:sz w:val="24"/>
              </w:rPr>
              <w:t xml:space="preserve"> </w:t>
            </w:r>
          </w:p>
        </w:tc>
      </w:tr>
      <w:tr>
        <w:tblPrEx>
          <w:tblLayout w:type="fixed"/>
          <w:tblCellMar>
            <w:top w:w="33" w:type="dxa"/>
            <w:left w:w="106" w:type="dxa"/>
            <w:bottom w:w="0" w:type="dxa"/>
            <w:right w:w="115" w:type="dxa"/>
          </w:tblCellMar>
        </w:tblPrEx>
        <w:trPr>
          <w:trHeight w:val="449" w:hRule="atLeast"/>
        </w:trPr>
        <w:tc>
          <w:tcPr>
            <w:tcW w:w="3454" w:type="dxa"/>
            <w:vMerge w:val="continue"/>
            <w:tcBorders>
              <w:top w:val="nil"/>
              <w:left w:val="single" w:color="000000" w:sz="4" w:space="0"/>
              <w:bottom w:val="nil"/>
              <w:right w:val="single" w:color="000000" w:sz="4" w:space="0"/>
            </w:tcBorders>
          </w:tcPr>
          <w:p>
            <w:pPr>
              <w:spacing w:after="0" w:line="240" w:lineRule="auto"/>
              <w:rPr>
                <w:rFonts w:ascii="微软雅黑" w:hAnsi="微软雅黑" w:eastAsia="微软雅黑"/>
              </w:rPr>
            </w:pPr>
          </w:p>
        </w:tc>
        <w:tc>
          <w:tcPr>
            <w:tcW w:w="2692"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rPr>
            </w:pPr>
            <w:r>
              <w:rPr>
                <w:rFonts w:ascii="微软雅黑" w:hAnsi="微软雅黑" w:eastAsia="微软雅黑" w:cs="微软雅黑"/>
                <w:sz w:val="24"/>
              </w:rPr>
              <w:t>实践条件</w:t>
            </w:r>
            <w:r>
              <w:rPr>
                <w:rFonts w:ascii="微软雅黑" w:hAnsi="微软雅黑" w:eastAsia="微软雅黑" w:cs="Times New Roman"/>
                <w:sz w:val="24"/>
              </w:rPr>
              <w:t xml:space="preserve"> </w:t>
            </w:r>
          </w:p>
        </w:tc>
        <w:tc>
          <w:tcPr>
            <w:tcW w:w="2660"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cs="微软雅黑"/>
                <w:sz w:val="24"/>
              </w:rPr>
              <w:t>■</w:t>
            </w:r>
            <w:r>
              <w:rPr>
                <w:rFonts w:ascii="微软雅黑" w:hAnsi="微软雅黑" w:eastAsia="微软雅黑" w:cs="微软雅黑"/>
                <w:sz w:val="24"/>
              </w:rPr>
              <w:t>是</w:t>
            </w:r>
            <w:r>
              <w:rPr>
                <w:rFonts w:ascii="微软雅黑" w:hAnsi="微软雅黑" w:eastAsia="微软雅黑" w:cs="Times New Roman"/>
                <w:sz w:val="24"/>
              </w:rPr>
              <w:t xml:space="preserve">   </w:t>
            </w:r>
            <w:r>
              <w:rPr>
                <w:rFonts w:ascii="微软雅黑" w:hAnsi="微软雅黑" w:eastAsia="微软雅黑" w:cs="微软雅黑"/>
                <w:sz w:val="24"/>
              </w:rPr>
              <w:t>□否</w:t>
            </w:r>
            <w:r>
              <w:rPr>
                <w:rFonts w:ascii="微软雅黑" w:hAnsi="微软雅黑" w:eastAsia="微软雅黑" w:cs="Times New Roman"/>
                <w:sz w:val="24"/>
              </w:rPr>
              <w:t xml:space="preserve"> </w:t>
            </w:r>
          </w:p>
        </w:tc>
      </w:tr>
      <w:tr>
        <w:tblPrEx>
          <w:tblLayout w:type="fixed"/>
          <w:tblCellMar>
            <w:top w:w="33" w:type="dxa"/>
            <w:left w:w="106" w:type="dxa"/>
            <w:bottom w:w="0" w:type="dxa"/>
            <w:right w:w="115" w:type="dxa"/>
          </w:tblCellMar>
        </w:tblPrEx>
        <w:trPr>
          <w:trHeight w:val="452" w:hRule="atLeast"/>
        </w:trPr>
        <w:tc>
          <w:tcPr>
            <w:tcW w:w="3454" w:type="dxa"/>
            <w:vMerge w:val="continue"/>
            <w:tcBorders>
              <w:top w:val="nil"/>
              <w:left w:val="single" w:color="000000" w:sz="4" w:space="0"/>
              <w:bottom w:val="single" w:color="000000" w:sz="4" w:space="0"/>
              <w:right w:val="single" w:color="000000" w:sz="4" w:space="0"/>
            </w:tcBorders>
          </w:tcPr>
          <w:p>
            <w:pPr>
              <w:spacing w:after="0" w:line="240" w:lineRule="auto"/>
              <w:rPr>
                <w:rFonts w:ascii="微软雅黑" w:hAnsi="微软雅黑" w:eastAsia="微软雅黑"/>
              </w:rPr>
            </w:pPr>
          </w:p>
        </w:tc>
        <w:tc>
          <w:tcPr>
            <w:tcW w:w="2692" w:type="dxa"/>
            <w:tcBorders>
              <w:top w:val="single" w:color="000000" w:sz="4" w:space="0"/>
              <w:left w:val="single" w:color="000000" w:sz="4" w:space="0"/>
              <w:bottom w:val="single" w:color="000000" w:sz="4" w:space="0"/>
              <w:right w:val="single" w:color="000000" w:sz="4" w:space="0"/>
            </w:tcBorders>
          </w:tcPr>
          <w:p>
            <w:pPr>
              <w:spacing w:after="0" w:line="240" w:lineRule="auto"/>
              <w:ind w:left="7"/>
              <w:jc w:val="center"/>
              <w:rPr>
                <w:rFonts w:ascii="微软雅黑" w:hAnsi="微软雅黑" w:eastAsia="微软雅黑"/>
              </w:rPr>
            </w:pPr>
            <w:r>
              <w:rPr>
                <w:rFonts w:ascii="微软雅黑" w:hAnsi="微软雅黑" w:eastAsia="微软雅黑" w:cs="微软雅黑"/>
                <w:sz w:val="24"/>
              </w:rPr>
              <w:t>经费保障</w:t>
            </w:r>
            <w:r>
              <w:rPr>
                <w:rFonts w:ascii="微软雅黑" w:hAnsi="微软雅黑" w:eastAsia="微软雅黑" w:cs="Times New Roman"/>
                <w:sz w:val="24"/>
              </w:rPr>
              <w:t xml:space="preserve"> </w:t>
            </w:r>
          </w:p>
        </w:tc>
        <w:tc>
          <w:tcPr>
            <w:tcW w:w="2660" w:type="dxa"/>
            <w:tcBorders>
              <w:top w:val="single" w:color="000000" w:sz="4" w:space="0"/>
              <w:left w:val="single" w:color="000000" w:sz="4" w:space="0"/>
              <w:bottom w:val="single" w:color="000000" w:sz="4" w:space="0"/>
              <w:right w:val="single" w:color="000000" w:sz="4" w:space="0"/>
            </w:tcBorders>
          </w:tcPr>
          <w:p>
            <w:pPr>
              <w:spacing w:after="0" w:line="240" w:lineRule="auto"/>
              <w:ind w:left="5"/>
              <w:jc w:val="center"/>
              <w:rPr>
                <w:rFonts w:ascii="微软雅黑" w:hAnsi="微软雅黑" w:eastAsia="微软雅黑"/>
              </w:rPr>
            </w:pPr>
            <w:r>
              <w:rPr>
                <w:rFonts w:hint="eastAsia" w:ascii="微软雅黑" w:hAnsi="微软雅黑" w:eastAsia="微软雅黑" w:cs="微软雅黑"/>
                <w:sz w:val="24"/>
              </w:rPr>
              <w:t>■</w:t>
            </w:r>
            <w:r>
              <w:rPr>
                <w:rFonts w:ascii="微软雅黑" w:hAnsi="微软雅黑" w:eastAsia="微软雅黑" w:cs="微软雅黑"/>
                <w:sz w:val="24"/>
              </w:rPr>
              <w:t>是</w:t>
            </w:r>
            <w:r>
              <w:rPr>
                <w:rFonts w:ascii="微软雅黑" w:hAnsi="微软雅黑" w:eastAsia="微软雅黑" w:cs="Times New Roman"/>
                <w:sz w:val="24"/>
              </w:rPr>
              <w:t xml:space="preserve">   </w:t>
            </w:r>
            <w:r>
              <w:rPr>
                <w:rFonts w:ascii="微软雅黑" w:hAnsi="微软雅黑" w:eastAsia="微软雅黑" w:cs="微软雅黑"/>
                <w:sz w:val="24"/>
              </w:rPr>
              <w:t>□否</w:t>
            </w:r>
            <w:r>
              <w:rPr>
                <w:rFonts w:ascii="微软雅黑" w:hAnsi="微软雅黑" w:eastAsia="微软雅黑" w:cs="Times New Roman"/>
                <w:sz w:val="24"/>
              </w:rPr>
              <w:t xml:space="preserve"> </w:t>
            </w:r>
          </w:p>
        </w:tc>
      </w:tr>
      <w:tr>
        <w:tblPrEx>
          <w:tblLayout w:type="fixed"/>
          <w:tblCellMar>
            <w:top w:w="33" w:type="dxa"/>
            <w:left w:w="106" w:type="dxa"/>
            <w:bottom w:w="0" w:type="dxa"/>
            <w:right w:w="115" w:type="dxa"/>
          </w:tblCellMar>
        </w:tblPrEx>
        <w:trPr>
          <w:trHeight w:val="1882" w:hRule="atLeast"/>
        </w:trPr>
        <w:tc>
          <w:tcPr>
            <w:tcW w:w="6146" w:type="dxa"/>
            <w:gridSpan w:val="2"/>
            <w:tcBorders>
              <w:top w:val="single" w:color="000000" w:sz="4" w:space="0"/>
              <w:left w:val="single" w:color="000000" w:sz="4" w:space="0"/>
              <w:bottom w:val="single" w:color="000000" w:sz="4" w:space="0"/>
              <w:right w:val="nil"/>
            </w:tcBorders>
          </w:tcPr>
          <w:p>
            <w:pPr>
              <w:spacing w:after="13" w:line="240" w:lineRule="auto"/>
              <w:ind w:left="2"/>
              <w:rPr>
                <w:rFonts w:ascii="微软雅黑" w:hAnsi="微软雅黑" w:eastAsia="微软雅黑"/>
              </w:rPr>
            </w:pPr>
            <w:r>
              <w:rPr>
                <w:rFonts w:ascii="微软雅黑" w:hAnsi="微软雅黑" w:eastAsia="微软雅黑" w:cs="微软雅黑"/>
                <w:sz w:val="24"/>
              </w:rPr>
              <w:t>专家签字：</w:t>
            </w:r>
            <w:r>
              <w:rPr>
                <w:rFonts w:ascii="微软雅黑" w:hAnsi="微软雅黑" w:eastAsia="微软雅黑" w:cs="Times New Roman"/>
                <w:sz w:val="24"/>
              </w:rPr>
              <w:t xml:space="preserve"> </w:t>
            </w:r>
          </w:p>
          <w:p>
            <w:pPr>
              <w:spacing w:after="12"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2"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2"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12" w:line="240" w:lineRule="auto"/>
              <w:ind w:left="2"/>
              <w:rPr>
                <w:rFonts w:ascii="微软雅黑" w:hAnsi="微软雅黑" w:eastAsia="微软雅黑"/>
              </w:rPr>
            </w:pPr>
            <w:r>
              <w:rPr>
                <w:rFonts w:ascii="微软雅黑" w:hAnsi="微软雅黑" w:eastAsia="微软雅黑" w:cs="Times New Roman"/>
                <w:sz w:val="24"/>
              </w:rPr>
              <w:t xml:space="preserve"> </w:t>
            </w:r>
          </w:p>
          <w:p>
            <w:pPr>
              <w:spacing w:after="0" w:line="240" w:lineRule="auto"/>
              <w:ind w:left="2"/>
              <w:rPr>
                <w:rFonts w:ascii="微软雅黑" w:hAnsi="微软雅黑" w:eastAsia="微软雅黑"/>
              </w:rPr>
            </w:pPr>
            <w:r>
              <w:rPr>
                <w:rFonts w:ascii="微软雅黑" w:hAnsi="微软雅黑" w:eastAsia="微软雅黑" w:cs="Times New Roman"/>
                <w:sz w:val="24"/>
              </w:rPr>
              <w:t xml:space="preserve"> </w:t>
            </w:r>
          </w:p>
        </w:tc>
        <w:tc>
          <w:tcPr>
            <w:tcW w:w="2660" w:type="dxa"/>
            <w:tcBorders>
              <w:top w:val="single" w:color="000000" w:sz="4" w:space="0"/>
              <w:left w:val="nil"/>
              <w:bottom w:val="single" w:color="000000" w:sz="4" w:space="0"/>
              <w:right w:val="single" w:color="000000" w:sz="4" w:space="0"/>
            </w:tcBorders>
          </w:tcPr>
          <w:p>
            <w:pPr>
              <w:spacing w:after="0" w:line="240" w:lineRule="auto"/>
              <w:rPr>
                <w:rFonts w:ascii="微软雅黑" w:hAnsi="微软雅黑" w:eastAsia="微软雅黑"/>
              </w:rPr>
            </w:pPr>
          </w:p>
        </w:tc>
      </w:tr>
    </w:tbl>
    <w:p>
      <w:pPr>
        <w:spacing w:after="0"/>
        <w:ind w:left="77"/>
      </w:pPr>
      <w:r>
        <w:rPr>
          <w:rFonts w:ascii="微软雅黑" w:hAnsi="微软雅黑" w:eastAsia="微软雅黑" w:cs="微软雅黑"/>
          <w:sz w:val="30"/>
        </w:rPr>
        <w:t xml:space="preserve"> </w:t>
      </w:r>
      <w:r>
        <w:rPr>
          <w:rFonts w:ascii="微软雅黑" w:hAnsi="微软雅黑" w:eastAsia="微软雅黑" w:cs="微软雅黑"/>
          <w:sz w:val="30"/>
        </w:rPr>
        <w:tab/>
      </w:r>
    </w:p>
    <w:p>
      <w:pPr>
        <w:pStyle w:val="3"/>
        <w:ind w:right="1649"/>
      </w:pPr>
      <w:r>
        <w:t xml:space="preserve">10.医学类、公安类专业相关部门意见 </w:t>
      </w:r>
    </w:p>
    <w:p>
      <w:pPr>
        <w:spacing w:after="158"/>
        <w:ind w:left="133"/>
        <w:jc w:val="center"/>
        <w:rPr>
          <w:rFonts w:ascii="微软雅黑" w:hAnsi="微软雅黑" w:eastAsia="微软雅黑"/>
        </w:rPr>
      </w:pPr>
      <w:r>
        <w:rPr>
          <w:rFonts w:ascii="微软雅黑" w:hAnsi="微软雅黑" w:eastAsia="微软雅黑" w:cs="Times New Roman"/>
          <w:sz w:val="24"/>
        </w:rPr>
        <w:t xml:space="preserve"> </w:t>
      </w: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r>
        <w:rPr>
          <w:rFonts w:ascii="微软雅黑" w:hAnsi="微软雅黑" w:eastAsia="微软雅黑" w:cs="微软雅黑"/>
          <w:sz w:val="24"/>
        </w:rPr>
        <w:t>（应出具省级卫生部门、公安部门对增设专业意见的公函并加盖公章）</w:t>
      </w:r>
      <w:r>
        <w:rPr>
          <w:rFonts w:ascii="微软雅黑" w:hAnsi="微软雅黑" w:eastAsia="微软雅黑" w:cs="Times New Roman"/>
          <w:sz w:val="24"/>
        </w:rPr>
        <w:t xml:space="preserve"> </w:t>
      </w: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41"/>
        <w:ind w:left="117" w:hanging="10"/>
        <w:rPr>
          <w:rFonts w:ascii="微软雅黑" w:hAnsi="微软雅黑" w:eastAsia="微软雅黑" w:cs="Times New Roman"/>
          <w:sz w:val="24"/>
        </w:rPr>
      </w:pPr>
    </w:p>
    <w:p>
      <w:pPr>
        <w:pBdr>
          <w:top w:val="single" w:color="000000" w:sz="4" w:space="0"/>
          <w:left w:val="single" w:color="000000" w:sz="4" w:space="0"/>
          <w:bottom w:val="single" w:color="000000" w:sz="4" w:space="31"/>
          <w:right w:val="single" w:color="000000" w:sz="4" w:space="0"/>
        </w:pBdr>
        <w:spacing w:after="11091"/>
        <w:ind w:left="107"/>
        <w:jc w:val="center"/>
        <w:rPr>
          <w:rFonts w:ascii="微软雅黑" w:hAnsi="微软雅黑" w:eastAsia="微软雅黑" w:cs="Times New Roman"/>
          <w:sz w:val="32"/>
        </w:rPr>
      </w:pPr>
      <w:r>
        <w:rPr>
          <w:rFonts w:ascii="微软雅黑" w:hAnsi="微软雅黑" w:eastAsia="微软雅黑" w:cs="Times New Roman"/>
          <w:sz w:val="32"/>
        </w:rPr>
        <w:t xml:space="preserve"> </w:t>
      </w:r>
    </w:p>
    <w:sectPr>
      <w:pgSz w:w="11906" w:h="16838"/>
      <w:pgMar w:top="1320" w:right="1131" w:bottom="1436" w:left="134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1FD0E1"/>
    <w:multiLevelType w:val="singleLevel"/>
    <w:tmpl w:val="C21FD0E1"/>
    <w:lvl w:ilvl="0" w:tentative="0">
      <w:start w:val="2"/>
      <w:numFmt w:val="decimal"/>
      <w:suff w:val="nothing"/>
      <w:lvlText w:val="（%1）"/>
      <w:lvlJc w:val="left"/>
    </w:lvl>
  </w:abstractNum>
  <w:abstractNum w:abstractNumId="1">
    <w:nsid w:val="00A43D1B"/>
    <w:multiLevelType w:val="multilevel"/>
    <w:tmpl w:val="00A43D1B"/>
    <w:lvl w:ilvl="0" w:tentative="0">
      <w:start w:val="11"/>
      <w:numFmt w:val="decimal"/>
      <w:lvlText w:val="%1"/>
      <w:lvlJc w:val="left"/>
      <w:pPr>
        <w:ind w:left="465" w:hanging="465"/>
      </w:pPr>
      <w:rPr>
        <w:rFonts w:hint="default"/>
      </w:rPr>
    </w:lvl>
    <w:lvl w:ilvl="1" w:tentative="0">
      <w:start w:val="3"/>
      <w:numFmt w:val="decimal"/>
      <w:lvlText w:val="%1.%2"/>
      <w:lvlJc w:val="left"/>
      <w:pPr>
        <w:ind w:left="1185" w:hanging="465"/>
      </w:pPr>
      <w:rPr>
        <w:rFonts w:hint="default"/>
      </w:rPr>
    </w:lvl>
    <w:lvl w:ilvl="2" w:tentative="0">
      <w:start w:val="1"/>
      <w:numFmt w:val="decimal"/>
      <w:lvlText w:val="%1.%2.%3"/>
      <w:lvlJc w:val="left"/>
      <w:pPr>
        <w:ind w:left="2160" w:hanging="720"/>
      </w:pPr>
      <w:rPr>
        <w:rFonts w:hint="default"/>
      </w:rPr>
    </w:lvl>
    <w:lvl w:ilvl="3" w:tentative="0">
      <w:start w:val="1"/>
      <w:numFmt w:val="decimal"/>
      <w:lvlText w:val="%1.%2.%3.%4"/>
      <w:lvlJc w:val="left"/>
      <w:pPr>
        <w:ind w:left="3240" w:hanging="1080"/>
      </w:pPr>
      <w:rPr>
        <w:rFonts w:hint="default"/>
      </w:rPr>
    </w:lvl>
    <w:lvl w:ilvl="4" w:tentative="0">
      <w:start w:val="1"/>
      <w:numFmt w:val="decimal"/>
      <w:lvlText w:val="%1.%2.%3.%4.%5"/>
      <w:lvlJc w:val="left"/>
      <w:pPr>
        <w:ind w:left="3960" w:hanging="1080"/>
      </w:pPr>
      <w:rPr>
        <w:rFonts w:hint="default"/>
      </w:rPr>
    </w:lvl>
    <w:lvl w:ilvl="5" w:tentative="0">
      <w:start w:val="1"/>
      <w:numFmt w:val="decimal"/>
      <w:lvlText w:val="%1.%2.%3.%4.%5.%6"/>
      <w:lvlJc w:val="left"/>
      <w:pPr>
        <w:ind w:left="5040" w:hanging="1440"/>
      </w:pPr>
      <w:rPr>
        <w:rFonts w:hint="default"/>
      </w:rPr>
    </w:lvl>
    <w:lvl w:ilvl="6" w:tentative="0">
      <w:start w:val="1"/>
      <w:numFmt w:val="decimal"/>
      <w:lvlText w:val="%1.%2.%3.%4.%5.%6.%7"/>
      <w:lvlJc w:val="left"/>
      <w:pPr>
        <w:ind w:left="5760" w:hanging="1440"/>
      </w:pPr>
      <w:rPr>
        <w:rFonts w:hint="default"/>
      </w:rPr>
    </w:lvl>
    <w:lvl w:ilvl="7" w:tentative="0">
      <w:start w:val="1"/>
      <w:numFmt w:val="decimal"/>
      <w:lvlText w:val="%1.%2.%3.%4.%5.%6.%7.%8"/>
      <w:lvlJc w:val="left"/>
      <w:pPr>
        <w:ind w:left="6840" w:hanging="1800"/>
      </w:pPr>
      <w:rPr>
        <w:rFonts w:hint="default"/>
      </w:rPr>
    </w:lvl>
    <w:lvl w:ilvl="8" w:tentative="0">
      <w:start w:val="1"/>
      <w:numFmt w:val="decimal"/>
      <w:lvlText w:val="%1.%2.%3.%4.%5.%6.%7.%8.%9"/>
      <w:lvlJc w:val="left"/>
      <w:pPr>
        <w:ind w:left="7920" w:hanging="2160"/>
      </w:pPr>
      <w:rPr>
        <w:rFonts w:hint="default"/>
      </w:rPr>
    </w:lvl>
  </w:abstractNum>
  <w:abstractNum w:abstractNumId="2">
    <w:nsid w:val="5C3C9FEA"/>
    <w:multiLevelType w:val="singleLevel"/>
    <w:tmpl w:val="5C3C9FEA"/>
    <w:lvl w:ilvl="0" w:tentative="0">
      <w:start w:val="2"/>
      <w:numFmt w:val="decimal"/>
      <w:suff w:val="nothing"/>
      <w:lvlText w:val="（%1）"/>
      <w:lvlJc w:val="left"/>
    </w:lvl>
  </w:abstractNum>
  <w:abstractNum w:abstractNumId="3">
    <w:nsid w:val="62FF27E7"/>
    <w:multiLevelType w:val="multilevel"/>
    <w:tmpl w:val="62FF27E7"/>
    <w:lvl w:ilvl="0" w:tentative="0">
      <w:start w:val="3"/>
      <w:numFmt w:val="japaneseCounting"/>
      <w:lvlText w:val="%1、"/>
      <w:lvlJc w:val="left"/>
      <w:pPr>
        <w:ind w:left="720" w:hanging="720"/>
      </w:pPr>
      <w:rPr>
        <w:rFonts w:hint="default" w:cs="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D7C0FCB"/>
    <w:multiLevelType w:val="multilevel"/>
    <w:tmpl w:val="6D7C0FCB"/>
    <w:lvl w:ilvl="0" w:tentative="0">
      <w:start w:val="1"/>
      <w:numFmt w:val="japaneseCounting"/>
      <w:lvlText w:val="%1、"/>
      <w:lvlJc w:val="left"/>
      <w:pPr>
        <w:ind w:left="797" w:hanging="720"/>
      </w:pPr>
      <w:rPr>
        <w:rFonts w:hint="default" w:ascii="黑体" w:hAnsi="黑体" w:eastAsia="黑体" w:cs="黑体"/>
        <w:color w:val="000000" w:themeColor="text1"/>
        <w14:textFill>
          <w14:solidFill>
            <w14:schemeClr w14:val="tx1"/>
          </w14:solidFill>
        </w14:textFill>
      </w:rPr>
    </w:lvl>
    <w:lvl w:ilvl="1" w:tentative="0">
      <w:start w:val="1"/>
      <w:numFmt w:val="lowerLetter"/>
      <w:lvlText w:val="%2)"/>
      <w:lvlJc w:val="left"/>
      <w:pPr>
        <w:ind w:left="917" w:hanging="420"/>
      </w:pPr>
    </w:lvl>
    <w:lvl w:ilvl="2" w:tentative="0">
      <w:start w:val="1"/>
      <w:numFmt w:val="lowerRoman"/>
      <w:lvlText w:val="%3."/>
      <w:lvlJc w:val="right"/>
      <w:pPr>
        <w:ind w:left="1337" w:hanging="420"/>
      </w:pPr>
    </w:lvl>
    <w:lvl w:ilvl="3" w:tentative="0">
      <w:start w:val="1"/>
      <w:numFmt w:val="decimal"/>
      <w:lvlText w:val="%4."/>
      <w:lvlJc w:val="left"/>
      <w:pPr>
        <w:ind w:left="1757" w:hanging="420"/>
      </w:pPr>
    </w:lvl>
    <w:lvl w:ilvl="4" w:tentative="0">
      <w:start w:val="1"/>
      <w:numFmt w:val="lowerLetter"/>
      <w:lvlText w:val="%5)"/>
      <w:lvlJc w:val="left"/>
      <w:pPr>
        <w:ind w:left="2177" w:hanging="420"/>
      </w:pPr>
    </w:lvl>
    <w:lvl w:ilvl="5" w:tentative="0">
      <w:start w:val="1"/>
      <w:numFmt w:val="lowerRoman"/>
      <w:lvlText w:val="%6."/>
      <w:lvlJc w:val="right"/>
      <w:pPr>
        <w:ind w:left="2597" w:hanging="420"/>
      </w:pPr>
    </w:lvl>
    <w:lvl w:ilvl="6" w:tentative="0">
      <w:start w:val="1"/>
      <w:numFmt w:val="decimal"/>
      <w:lvlText w:val="%7."/>
      <w:lvlJc w:val="left"/>
      <w:pPr>
        <w:ind w:left="3017" w:hanging="420"/>
      </w:pPr>
    </w:lvl>
    <w:lvl w:ilvl="7" w:tentative="0">
      <w:start w:val="1"/>
      <w:numFmt w:val="lowerLetter"/>
      <w:lvlText w:val="%8)"/>
      <w:lvlJc w:val="left"/>
      <w:pPr>
        <w:ind w:left="3437" w:hanging="420"/>
      </w:pPr>
    </w:lvl>
    <w:lvl w:ilvl="8" w:tentative="0">
      <w:start w:val="1"/>
      <w:numFmt w:val="lowerRoman"/>
      <w:lvlText w:val="%9."/>
      <w:lvlJc w:val="right"/>
      <w:pPr>
        <w:ind w:left="3857" w:hanging="420"/>
      </w:pPr>
    </w:lvl>
  </w:abstractNum>
  <w:abstractNum w:abstractNumId="5">
    <w:nsid w:val="751616E7"/>
    <w:multiLevelType w:val="multilevel"/>
    <w:tmpl w:val="751616E7"/>
    <w:lvl w:ilvl="0" w:tentative="0">
      <w:start w:val="8"/>
      <w:numFmt w:val="decimal"/>
      <w:lvlText w:val="%1"/>
      <w:lvlJc w:val="left"/>
      <w:pPr>
        <w:ind w:left="360" w:hanging="360"/>
      </w:pPr>
      <w:rPr>
        <w:rFonts w:hint="default"/>
      </w:rPr>
    </w:lvl>
    <w:lvl w:ilvl="1" w:tentative="0">
      <w:start w:val="3"/>
      <w:numFmt w:val="decimal"/>
      <w:lvlText w:val="%1.%2"/>
      <w:lvlJc w:val="left"/>
      <w:pPr>
        <w:ind w:left="1080" w:hanging="360"/>
      </w:pPr>
      <w:rPr>
        <w:rFonts w:hint="default"/>
      </w:rPr>
    </w:lvl>
    <w:lvl w:ilvl="2" w:tentative="0">
      <w:start w:val="1"/>
      <w:numFmt w:val="decimal"/>
      <w:lvlText w:val="%1.%2.%3"/>
      <w:lvlJc w:val="left"/>
      <w:pPr>
        <w:ind w:left="2160" w:hanging="720"/>
      </w:pPr>
      <w:rPr>
        <w:rFonts w:hint="default"/>
      </w:rPr>
    </w:lvl>
    <w:lvl w:ilvl="3" w:tentative="0">
      <w:start w:val="1"/>
      <w:numFmt w:val="decimal"/>
      <w:lvlText w:val="%1.%2.%3.%4"/>
      <w:lvlJc w:val="left"/>
      <w:pPr>
        <w:ind w:left="3240" w:hanging="1080"/>
      </w:pPr>
      <w:rPr>
        <w:rFonts w:hint="default"/>
      </w:rPr>
    </w:lvl>
    <w:lvl w:ilvl="4" w:tentative="0">
      <w:start w:val="1"/>
      <w:numFmt w:val="decimal"/>
      <w:lvlText w:val="%1.%2.%3.%4.%5"/>
      <w:lvlJc w:val="left"/>
      <w:pPr>
        <w:ind w:left="3960" w:hanging="1080"/>
      </w:pPr>
      <w:rPr>
        <w:rFonts w:hint="default"/>
      </w:rPr>
    </w:lvl>
    <w:lvl w:ilvl="5" w:tentative="0">
      <w:start w:val="1"/>
      <w:numFmt w:val="decimal"/>
      <w:lvlText w:val="%1.%2.%3.%4.%5.%6"/>
      <w:lvlJc w:val="left"/>
      <w:pPr>
        <w:ind w:left="5040" w:hanging="1440"/>
      </w:pPr>
      <w:rPr>
        <w:rFonts w:hint="default"/>
      </w:rPr>
    </w:lvl>
    <w:lvl w:ilvl="6" w:tentative="0">
      <w:start w:val="1"/>
      <w:numFmt w:val="decimal"/>
      <w:lvlText w:val="%1.%2.%3.%4.%5.%6.%7"/>
      <w:lvlJc w:val="left"/>
      <w:pPr>
        <w:ind w:left="5760" w:hanging="1440"/>
      </w:pPr>
      <w:rPr>
        <w:rFonts w:hint="default"/>
      </w:rPr>
    </w:lvl>
    <w:lvl w:ilvl="7" w:tentative="0">
      <w:start w:val="1"/>
      <w:numFmt w:val="decimal"/>
      <w:lvlText w:val="%1.%2.%3.%4.%5.%6.%7.%8"/>
      <w:lvlJc w:val="left"/>
      <w:pPr>
        <w:ind w:left="6840" w:hanging="1800"/>
      </w:pPr>
      <w:rPr>
        <w:rFonts w:hint="default"/>
      </w:rPr>
    </w:lvl>
    <w:lvl w:ilvl="8" w:tentative="0">
      <w:start w:val="1"/>
      <w:numFmt w:val="decimal"/>
      <w:lvlText w:val="%1.%2.%3.%4.%5.%6.%7.%8.%9"/>
      <w:lvlJc w:val="left"/>
      <w:pPr>
        <w:ind w:left="7920" w:hanging="2160"/>
      </w:pPr>
      <w:rPr>
        <w:rFonts w:hint="default"/>
      </w:r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val="1"/>
  <w:bordersDoNotSurroundFooter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2C5"/>
    <w:rsid w:val="000120CF"/>
    <w:rsid w:val="0002456C"/>
    <w:rsid w:val="000620C9"/>
    <w:rsid w:val="00075EAB"/>
    <w:rsid w:val="000E0C39"/>
    <w:rsid w:val="00112086"/>
    <w:rsid w:val="00130972"/>
    <w:rsid w:val="0018184D"/>
    <w:rsid w:val="001D6EDA"/>
    <w:rsid w:val="001E527C"/>
    <w:rsid w:val="00204FFD"/>
    <w:rsid w:val="00295984"/>
    <w:rsid w:val="002B396C"/>
    <w:rsid w:val="003552C5"/>
    <w:rsid w:val="003C54CA"/>
    <w:rsid w:val="003E2A29"/>
    <w:rsid w:val="00402C4D"/>
    <w:rsid w:val="00412B8C"/>
    <w:rsid w:val="00445B58"/>
    <w:rsid w:val="004C0FBE"/>
    <w:rsid w:val="004C3EF6"/>
    <w:rsid w:val="00556A68"/>
    <w:rsid w:val="006B74DA"/>
    <w:rsid w:val="006C1906"/>
    <w:rsid w:val="006D7C6B"/>
    <w:rsid w:val="00744AEF"/>
    <w:rsid w:val="00863BA2"/>
    <w:rsid w:val="00873A61"/>
    <w:rsid w:val="00883BC9"/>
    <w:rsid w:val="00A4557D"/>
    <w:rsid w:val="00A80171"/>
    <w:rsid w:val="00AE7330"/>
    <w:rsid w:val="00B2076B"/>
    <w:rsid w:val="00B43B44"/>
    <w:rsid w:val="00B76418"/>
    <w:rsid w:val="00B764E1"/>
    <w:rsid w:val="00B855CD"/>
    <w:rsid w:val="00B8699A"/>
    <w:rsid w:val="00C17874"/>
    <w:rsid w:val="00CD2183"/>
    <w:rsid w:val="00D02D79"/>
    <w:rsid w:val="00D21905"/>
    <w:rsid w:val="00D42523"/>
    <w:rsid w:val="00D62114"/>
    <w:rsid w:val="00D66FD5"/>
    <w:rsid w:val="00DC1D96"/>
    <w:rsid w:val="00DC3966"/>
    <w:rsid w:val="00E02FB8"/>
    <w:rsid w:val="00EB5245"/>
    <w:rsid w:val="00EC2E8D"/>
    <w:rsid w:val="00F33F6B"/>
    <w:rsid w:val="237B47C7"/>
    <w:rsid w:val="52EE5C5F"/>
    <w:rsid w:val="5D3B0A7E"/>
    <w:rsid w:val="627732B0"/>
    <w:rsid w:val="731C2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sz w:val="22"/>
      <w:szCs w:val="22"/>
      <w:lang w:val="en-US" w:eastAsia="zh-CN" w:bidi="ar-SA"/>
    </w:rPr>
  </w:style>
  <w:style w:type="paragraph" w:styleId="2">
    <w:name w:val="heading 1"/>
    <w:next w:val="1"/>
    <w:link w:val="13"/>
    <w:qFormat/>
    <w:uiPriority w:val="9"/>
    <w:pPr>
      <w:keepNext/>
      <w:keepLines/>
      <w:spacing w:after="41" w:line="259" w:lineRule="auto"/>
      <w:ind w:right="993"/>
      <w:jc w:val="right"/>
      <w:outlineLvl w:val="0"/>
    </w:pPr>
    <w:rPr>
      <w:rFonts w:ascii="微软雅黑" w:hAnsi="微软雅黑" w:eastAsia="微软雅黑" w:cs="微软雅黑"/>
      <w:color w:val="000000"/>
      <w:sz w:val="52"/>
      <w:szCs w:val="22"/>
      <w:lang w:val="en-US" w:eastAsia="zh-CN" w:bidi="ar-SA"/>
    </w:rPr>
  </w:style>
  <w:style w:type="paragraph" w:styleId="3">
    <w:name w:val="heading 2"/>
    <w:next w:val="1"/>
    <w:link w:val="12"/>
    <w:unhideWhenUsed/>
    <w:qFormat/>
    <w:uiPriority w:val="9"/>
    <w:pPr>
      <w:keepNext/>
      <w:keepLines/>
      <w:spacing w:after="0" w:line="259" w:lineRule="auto"/>
      <w:ind w:left="10" w:right="3420" w:hanging="10"/>
      <w:jc w:val="right"/>
      <w:outlineLvl w:val="1"/>
    </w:pPr>
    <w:rPr>
      <w:rFonts w:ascii="微软雅黑" w:hAnsi="微软雅黑" w:eastAsia="微软雅黑" w:cs="微软雅黑"/>
      <w:color w:val="000000"/>
      <w:sz w:val="36"/>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4">
    <w:name w:val="Document Map"/>
    <w:basedOn w:val="1"/>
    <w:link w:val="16"/>
    <w:semiHidden/>
    <w:unhideWhenUsed/>
    <w:qFormat/>
    <w:uiPriority w:val="99"/>
    <w:rPr>
      <w:rFonts w:ascii="宋体" w:eastAsia="宋体"/>
      <w:sz w:val="24"/>
      <w:szCs w:val="24"/>
    </w:rPr>
  </w:style>
  <w:style w:type="paragraph" w:styleId="5">
    <w:name w:val="footer"/>
    <w:basedOn w:val="1"/>
    <w:link w:val="18"/>
    <w:unhideWhenUsed/>
    <w:qFormat/>
    <w:uiPriority w:val="99"/>
    <w:pPr>
      <w:tabs>
        <w:tab w:val="center" w:pos="4153"/>
        <w:tab w:val="right" w:pos="8306"/>
      </w:tabs>
      <w:snapToGrid w:val="0"/>
      <w:spacing w:line="240" w:lineRule="auto"/>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Normal (Web)"/>
    <w:basedOn w:val="1"/>
    <w:unhideWhenUsed/>
    <w:qFormat/>
    <w:uiPriority w:val="99"/>
    <w:pPr>
      <w:spacing w:before="100" w:beforeAutospacing="1" w:after="100" w:afterAutospacing="1" w:line="240" w:lineRule="auto"/>
    </w:pPr>
    <w:rPr>
      <w:rFonts w:ascii="宋体" w:hAnsi="宋体" w:eastAsia="宋体" w:cs="宋体"/>
      <w:color w:val="auto"/>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2 字符"/>
    <w:link w:val="3"/>
    <w:uiPriority w:val="9"/>
    <w:rPr>
      <w:rFonts w:ascii="微软雅黑" w:hAnsi="微软雅黑" w:eastAsia="微软雅黑" w:cs="微软雅黑"/>
      <w:color w:val="000000"/>
      <w:sz w:val="36"/>
    </w:rPr>
  </w:style>
  <w:style w:type="character" w:customStyle="1" w:styleId="13">
    <w:name w:val="标题 1 字符"/>
    <w:link w:val="2"/>
    <w:uiPriority w:val="9"/>
    <w:rPr>
      <w:rFonts w:ascii="微软雅黑" w:hAnsi="微软雅黑" w:eastAsia="微软雅黑" w:cs="微软雅黑"/>
      <w:color w:val="000000"/>
      <w:sz w:val="52"/>
    </w:rPr>
  </w:style>
  <w:style w:type="table" w:customStyle="1" w:styleId="14">
    <w:name w:val="TableGrid"/>
    <w:qFormat/>
    <w:uiPriority w:val="0"/>
    <w:pPr>
      <w:spacing w:after="0" w:line="240" w:lineRule="auto"/>
    </w:pPr>
    <w:tblPr>
      <w:tblLayout w:type="fixed"/>
      <w:tblCellMar>
        <w:top w:w="0" w:type="dxa"/>
        <w:left w:w="0" w:type="dxa"/>
        <w:bottom w:w="0" w:type="dxa"/>
        <w:right w:w="0" w:type="dxa"/>
      </w:tblCellMar>
    </w:tblPr>
  </w:style>
  <w:style w:type="table" w:customStyle="1" w:styleId="15">
    <w:name w:val="TableGrid1"/>
    <w:qFormat/>
    <w:uiPriority w:val="0"/>
    <w:pPr>
      <w:spacing w:after="0" w:line="240" w:lineRule="auto"/>
    </w:pPr>
    <w:rPr>
      <w:kern w:val="2"/>
      <w:sz w:val="21"/>
    </w:rPr>
    <w:tblPr>
      <w:tblLayout w:type="fixed"/>
      <w:tblCellMar>
        <w:top w:w="0" w:type="dxa"/>
        <w:left w:w="0" w:type="dxa"/>
        <w:bottom w:w="0" w:type="dxa"/>
        <w:right w:w="0" w:type="dxa"/>
      </w:tblCellMar>
    </w:tblPr>
  </w:style>
  <w:style w:type="character" w:customStyle="1" w:styleId="16">
    <w:name w:val="文档结构图 字符"/>
    <w:basedOn w:val="9"/>
    <w:link w:val="4"/>
    <w:semiHidden/>
    <w:qFormat/>
    <w:uiPriority w:val="99"/>
    <w:rPr>
      <w:rFonts w:ascii="宋体" w:hAnsi="Calibri" w:eastAsia="宋体" w:cs="Calibri"/>
      <w:color w:val="000000"/>
      <w:sz w:val="24"/>
      <w:szCs w:val="24"/>
    </w:rPr>
  </w:style>
  <w:style w:type="character" w:customStyle="1" w:styleId="17">
    <w:name w:val="页眉 字符"/>
    <w:basedOn w:val="9"/>
    <w:link w:val="6"/>
    <w:qFormat/>
    <w:uiPriority w:val="99"/>
    <w:rPr>
      <w:rFonts w:ascii="Calibri" w:hAnsi="Calibri" w:eastAsia="Calibri" w:cs="Calibri"/>
      <w:color w:val="000000"/>
      <w:sz w:val="18"/>
      <w:szCs w:val="18"/>
    </w:rPr>
  </w:style>
  <w:style w:type="character" w:customStyle="1" w:styleId="18">
    <w:name w:val="页脚 字符"/>
    <w:basedOn w:val="9"/>
    <w:link w:val="5"/>
    <w:qFormat/>
    <w:uiPriority w:val="99"/>
    <w:rPr>
      <w:rFonts w:ascii="Calibri" w:hAnsi="Calibri" w:eastAsia="Calibri" w:cs="Calibri"/>
      <w:color w:val="000000"/>
      <w:sz w:val="18"/>
      <w:szCs w:val="18"/>
    </w:rPr>
  </w:style>
  <w:style w:type="paragraph" w:styleId="19">
    <w:name w:val="List Paragraph"/>
    <w:basedOn w:val="1"/>
    <w:qFormat/>
    <w:uiPriority w:val="99"/>
    <w:pPr>
      <w:ind w:firstLine="420" w:firstLineChars="200"/>
    </w:pPr>
  </w:style>
  <w:style w:type="character" w:customStyle="1" w:styleId="20">
    <w:name w:val="Unresolved Mention"/>
    <w:basedOn w:val="9"/>
    <w:semiHidden/>
    <w:unhideWhenUsed/>
    <w:qFormat/>
    <w:uiPriority w:val="99"/>
    <w:rPr>
      <w:color w:val="605E5C"/>
      <w:shd w:val="clear" w:color="auto" w:fill="E1DFDD"/>
    </w:rPr>
  </w:style>
  <w:style w:type="table" w:customStyle="1" w:styleId="21">
    <w:name w:val="Table Normal"/>
    <w:semiHidden/>
    <w:unhideWhenUsed/>
    <w:qFormat/>
    <w:uiPriority w:val="2"/>
    <w:rPr>
      <w:sz w:val="20"/>
      <w:szCs w:val="20"/>
    </w:rPr>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085AB0-8B20-40FA-9084-63DB8EEE931B}">
  <ds:schemaRefs/>
</ds:datastoreItem>
</file>

<file path=docProps/app.xml><?xml version="1.0" encoding="utf-8"?>
<Properties xmlns="http://schemas.openxmlformats.org/officeDocument/2006/extended-properties" xmlns:vt="http://schemas.openxmlformats.org/officeDocument/2006/docPropsVTypes">
  <Template>Normal</Template>
  <Pages>41</Pages>
  <Words>3581</Words>
  <Characters>20416</Characters>
  <Lines>170</Lines>
  <Paragraphs>47</Paragraphs>
  <TotalTime>3</TotalTime>
  <ScaleCrop>false</ScaleCrop>
  <LinksUpToDate>false</LinksUpToDate>
  <CharactersWithSpaces>23950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2019-07-21T10:08:00Z</dcterms:created>
  <dc:creator>MC SYSTEM</dc:creator>
  <cp:lastModifiedBy>蔡超</cp:lastModifiedBy>
  <dcterms:modified xsi:type="dcterms:W3CDTF">2019-07-23T10:13:41Z</dcterms:modified>
  <dc:title>普通高等学校本科专业设置管理规定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